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E4" w:rsidRDefault="007B3D00" w:rsidP="00DD42EA">
      <w:pPr>
        <w:jc w:val="center"/>
        <w:rPr>
          <w:rFonts w:ascii="Arial" w:hAnsi="Arial" w:cs="Arial"/>
          <w:sz w:val="24"/>
          <w:szCs w:val="24"/>
        </w:rPr>
      </w:pPr>
    </w:p>
    <w:p w:rsidR="00300E5A" w:rsidRDefault="00DD42EA" w:rsidP="00E34100">
      <w:pPr>
        <w:jc w:val="center"/>
        <w:rPr>
          <w:rFonts w:ascii="Arial" w:hAnsi="Arial" w:cs="Arial"/>
          <w:b/>
          <w:sz w:val="28"/>
          <w:szCs w:val="28"/>
          <w:lang w:val="fr-FR"/>
        </w:rPr>
      </w:pPr>
      <w:r w:rsidRPr="00E34100">
        <w:rPr>
          <w:rFonts w:ascii="Arial" w:hAnsi="Arial" w:cs="Arial"/>
          <w:b/>
          <w:sz w:val="28"/>
          <w:szCs w:val="28"/>
          <w:lang w:val="fr-FR"/>
        </w:rPr>
        <w:t>Les entraves au développement du crédit en Haïti</w:t>
      </w:r>
    </w:p>
    <w:p w:rsidR="00E34100" w:rsidRPr="00E34100" w:rsidRDefault="00E34100" w:rsidP="00E34100">
      <w:pPr>
        <w:jc w:val="center"/>
        <w:rPr>
          <w:rFonts w:ascii="Arial" w:hAnsi="Arial" w:cs="Arial"/>
          <w:b/>
          <w:sz w:val="20"/>
          <w:szCs w:val="20"/>
          <w:lang w:val="fr-FR"/>
        </w:rPr>
      </w:pPr>
      <w:r>
        <w:rPr>
          <w:rFonts w:ascii="Arial" w:hAnsi="Arial" w:cs="Arial"/>
          <w:b/>
          <w:sz w:val="20"/>
          <w:szCs w:val="20"/>
          <w:lang w:val="fr-FR"/>
        </w:rPr>
        <w:t>Texte préparé par la Direction Exécutive de l’APB</w:t>
      </w:r>
    </w:p>
    <w:p w:rsidR="00E34100" w:rsidRPr="00E34100" w:rsidRDefault="00E34100" w:rsidP="00DD42EA">
      <w:pPr>
        <w:jc w:val="center"/>
        <w:rPr>
          <w:rFonts w:ascii="Arial" w:hAnsi="Arial" w:cs="Arial"/>
          <w:b/>
          <w:sz w:val="20"/>
          <w:szCs w:val="20"/>
          <w:lang w:val="fr-FR"/>
        </w:rPr>
      </w:pPr>
    </w:p>
    <w:p w:rsidR="00DD42EA" w:rsidRDefault="00DD42EA" w:rsidP="00DD42EA">
      <w:pPr>
        <w:jc w:val="both"/>
        <w:rPr>
          <w:rFonts w:ascii="Arial" w:hAnsi="Arial" w:cs="Arial"/>
          <w:sz w:val="24"/>
          <w:szCs w:val="24"/>
          <w:lang w:val="fr-FR"/>
        </w:rPr>
      </w:pPr>
      <w:r>
        <w:rPr>
          <w:rFonts w:ascii="Arial" w:hAnsi="Arial" w:cs="Arial"/>
          <w:sz w:val="24"/>
          <w:szCs w:val="24"/>
          <w:lang w:val="fr-FR"/>
        </w:rPr>
        <w:t>Au 30 juin 2013 et selon les statistiques de la Direction de Contrôle de la BRH, le crédit à l</w:t>
      </w:r>
      <w:r w:rsidR="00021109">
        <w:rPr>
          <w:rFonts w:ascii="Arial" w:hAnsi="Arial" w:cs="Arial"/>
          <w:sz w:val="24"/>
          <w:szCs w:val="24"/>
          <w:lang w:val="fr-FR"/>
        </w:rPr>
        <w:t>’</w:t>
      </w:r>
      <w:r>
        <w:rPr>
          <w:rFonts w:ascii="Arial" w:hAnsi="Arial" w:cs="Arial"/>
          <w:sz w:val="24"/>
          <w:szCs w:val="24"/>
          <w:lang w:val="fr-FR"/>
        </w:rPr>
        <w:t>économie totalisa</w:t>
      </w:r>
      <w:r w:rsidR="00021109">
        <w:rPr>
          <w:rFonts w:ascii="Arial" w:hAnsi="Arial" w:cs="Arial"/>
          <w:sz w:val="24"/>
          <w:szCs w:val="24"/>
          <w:lang w:val="fr-FR"/>
        </w:rPr>
        <w:t>i</w:t>
      </w:r>
      <w:r>
        <w:rPr>
          <w:rFonts w:ascii="Arial" w:hAnsi="Arial" w:cs="Arial"/>
          <w:sz w:val="24"/>
          <w:szCs w:val="24"/>
          <w:lang w:val="fr-FR"/>
        </w:rPr>
        <w:t>t 60 milliards de gourdes contre 50.7 milliards de gourdes en septembre 2012 et 38.6 milliards de gourdes en septembre 201</w:t>
      </w:r>
      <w:r w:rsidR="00E34100">
        <w:rPr>
          <w:rFonts w:ascii="Arial" w:hAnsi="Arial" w:cs="Arial"/>
          <w:sz w:val="24"/>
          <w:szCs w:val="24"/>
          <w:lang w:val="fr-FR"/>
        </w:rPr>
        <w:t>1</w:t>
      </w:r>
      <w:r>
        <w:rPr>
          <w:rFonts w:ascii="Arial" w:hAnsi="Arial" w:cs="Arial"/>
          <w:sz w:val="24"/>
          <w:szCs w:val="24"/>
          <w:lang w:val="fr-FR"/>
        </w:rPr>
        <w:t>, soit une croissance de 31% en 2012 et 18% en 2013.</w:t>
      </w:r>
    </w:p>
    <w:p w:rsidR="00DD42EA" w:rsidRDefault="00DD42EA" w:rsidP="00DD42EA">
      <w:pPr>
        <w:jc w:val="both"/>
        <w:rPr>
          <w:rFonts w:ascii="Arial" w:hAnsi="Arial" w:cs="Arial"/>
          <w:sz w:val="24"/>
          <w:szCs w:val="24"/>
          <w:lang w:val="fr-FR"/>
        </w:rPr>
      </w:pPr>
      <w:r>
        <w:rPr>
          <w:rFonts w:ascii="Arial" w:hAnsi="Arial" w:cs="Arial"/>
          <w:sz w:val="24"/>
          <w:szCs w:val="24"/>
          <w:lang w:val="fr-FR"/>
        </w:rPr>
        <w:t>Cette forte croissance d</w:t>
      </w:r>
      <w:r w:rsidR="00300E5A">
        <w:rPr>
          <w:rFonts w:ascii="Arial" w:hAnsi="Arial" w:cs="Arial"/>
          <w:sz w:val="24"/>
          <w:szCs w:val="24"/>
          <w:lang w:val="fr-FR"/>
        </w:rPr>
        <w:t>u</w:t>
      </w:r>
      <w:r>
        <w:rPr>
          <w:rFonts w:ascii="Arial" w:hAnsi="Arial" w:cs="Arial"/>
          <w:sz w:val="24"/>
          <w:szCs w:val="24"/>
          <w:lang w:val="fr-FR"/>
        </w:rPr>
        <w:t xml:space="preserve"> crédit dépassant le niveau d’inflation </w:t>
      </w:r>
      <w:r w:rsidR="00021109">
        <w:rPr>
          <w:rFonts w:ascii="Arial" w:hAnsi="Arial" w:cs="Arial"/>
          <w:sz w:val="24"/>
          <w:szCs w:val="24"/>
          <w:lang w:val="fr-FR"/>
        </w:rPr>
        <w:t>(7</w:t>
      </w:r>
      <w:r>
        <w:rPr>
          <w:rFonts w:ascii="Arial" w:hAnsi="Arial" w:cs="Arial"/>
          <w:sz w:val="24"/>
          <w:szCs w:val="24"/>
          <w:lang w:val="fr-FR"/>
        </w:rPr>
        <w:t>%</w:t>
      </w:r>
      <w:r w:rsidR="00021109">
        <w:rPr>
          <w:rFonts w:ascii="Arial" w:hAnsi="Arial" w:cs="Arial"/>
          <w:sz w:val="24"/>
          <w:szCs w:val="24"/>
          <w:lang w:val="fr-FR"/>
        </w:rPr>
        <w:t>)</w:t>
      </w:r>
      <w:r>
        <w:rPr>
          <w:rFonts w:ascii="Arial" w:hAnsi="Arial" w:cs="Arial"/>
          <w:sz w:val="24"/>
          <w:szCs w:val="24"/>
          <w:lang w:val="fr-FR"/>
        </w:rPr>
        <w:t xml:space="preserve">  et l’augmentation du PIB en terme réel (2.8%) reflète l’impact  des travaux tendant à la reconstruction du pays, l’afflux d’investissements dans le secteur hôtelier et l’augmentation de la liquidité</w:t>
      </w:r>
      <w:r w:rsidR="00637A96">
        <w:rPr>
          <w:rFonts w:ascii="Arial" w:hAnsi="Arial" w:cs="Arial"/>
          <w:sz w:val="24"/>
          <w:szCs w:val="24"/>
          <w:lang w:val="fr-FR"/>
        </w:rPr>
        <w:t xml:space="preserve"> bancaire à la suite de transferts sans contre partie et de fonds de garantie.</w:t>
      </w:r>
    </w:p>
    <w:p w:rsidR="00637A96" w:rsidRDefault="00637A96" w:rsidP="00DD42EA">
      <w:pPr>
        <w:jc w:val="both"/>
        <w:rPr>
          <w:rFonts w:ascii="Arial" w:hAnsi="Arial" w:cs="Arial"/>
          <w:sz w:val="24"/>
          <w:szCs w:val="24"/>
          <w:lang w:val="fr-FR"/>
        </w:rPr>
      </w:pPr>
      <w:r>
        <w:rPr>
          <w:rFonts w:ascii="Arial" w:hAnsi="Arial" w:cs="Arial"/>
          <w:sz w:val="24"/>
          <w:szCs w:val="24"/>
          <w:lang w:val="fr-FR"/>
        </w:rPr>
        <w:t>Ce crédit qui représente l’équivalent de 1.3 milliards de dollars américains a été alloué en 2011-2012 à différents secteurs d’activités.  Toutefois, une forte concentration a été observé</w:t>
      </w:r>
      <w:r w:rsidR="00021109">
        <w:rPr>
          <w:rFonts w:ascii="Arial" w:hAnsi="Arial" w:cs="Arial"/>
          <w:sz w:val="24"/>
          <w:szCs w:val="24"/>
          <w:lang w:val="fr-FR"/>
        </w:rPr>
        <w:t>e</w:t>
      </w:r>
      <w:r>
        <w:rPr>
          <w:rFonts w:ascii="Arial" w:hAnsi="Arial" w:cs="Arial"/>
          <w:sz w:val="24"/>
          <w:szCs w:val="24"/>
          <w:lang w:val="fr-FR"/>
        </w:rPr>
        <w:t xml:space="preserve"> dans les activités commerciales et une part importante du crédit est allouée au</w:t>
      </w:r>
      <w:r w:rsidR="00300E5A">
        <w:rPr>
          <w:rFonts w:ascii="Arial" w:hAnsi="Arial" w:cs="Arial"/>
          <w:sz w:val="24"/>
          <w:szCs w:val="24"/>
          <w:lang w:val="fr-FR"/>
        </w:rPr>
        <w:t>x</w:t>
      </w:r>
      <w:r>
        <w:rPr>
          <w:rFonts w:ascii="Arial" w:hAnsi="Arial" w:cs="Arial"/>
          <w:sz w:val="24"/>
          <w:szCs w:val="24"/>
          <w:lang w:val="fr-FR"/>
        </w:rPr>
        <w:t xml:space="preserve"> grands emprunteurs (12.500 selon une estimation récente du FMI).</w:t>
      </w:r>
    </w:p>
    <w:p w:rsidR="00637A96" w:rsidRDefault="00637A96" w:rsidP="00DD42EA">
      <w:pPr>
        <w:jc w:val="both"/>
        <w:rPr>
          <w:rFonts w:ascii="Arial" w:hAnsi="Arial" w:cs="Arial"/>
          <w:sz w:val="24"/>
          <w:szCs w:val="24"/>
          <w:lang w:val="fr-FR"/>
        </w:rPr>
      </w:pPr>
      <w:r>
        <w:rPr>
          <w:rFonts w:ascii="Arial" w:hAnsi="Arial" w:cs="Arial"/>
          <w:sz w:val="24"/>
          <w:szCs w:val="24"/>
          <w:lang w:val="fr-FR"/>
        </w:rPr>
        <w:t>La ventilation du crédit se présente comme suit :</w:t>
      </w:r>
    </w:p>
    <w:p w:rsidR="00637A96" w:rsidRPr="00BA3C8E" w:rsidRDefault="00637A96" w:rsidP="00BA3C8E">
      <w:pPr>
        <w:pStyle w:val="ListParagraph"/>
        <w:numPr>
          <w:ilvl w:val="0"/>
          <w:numId w:val="1"/>
        </w:numPr>
        <w:jc w:val="both"/>
        <w:rPr>
          <w:rFonts w:ascii="Arial" w:hAnsi="Arial" w:cs="Arial"/>
          <w:sz w:val="24"/>
          <w:szCs w:val="24"/>
          <w:lang w:val="fr-FR"/>
        </w:rPr>
      </w:pPr>
      <w:r w:rsidRPr="00BA3C8E">
        <w:rPr>
          <w:rFonts w:ascii="Arial" w:hAnsi="Arial" w:cs="Arial"/>
          <w:sz w:val="24"/>
          <w:szCs w:val="24"/>
          <w:lang w:val="fr-FR"/>
        </w:rPr>
        <w:t>Le commerce a reçu 25% du crédit disponible dans l’économie</w:t>
      </w:r>
    </w:p>
    <w:p w:rsidR="00637A96" w:rsidRPr="00BA3C8E" w:rsidRDefault="00637A96" w:rsidP="00BA3C8E">
      <w:pPr>
        <w:pStyle w:val="ListParagraph"/>
        <w:numPr>
          <w:ilvl w:val="0"/>
          <w:numId w:val="1"/>
        </w:numPr>
        <w:jc w:val="both"/>
        <w:rPr>
          <w:rFonts w:ascii="Arial" w:hAnsi="Arial" w:cs="Arial"/>
          <w:sz w:val="24"/>
          <w:szCs w:val="24"/>
          <w:lang w:val="fr-FR"/>
        </w:rPr>
      </w:pPr>
      <w:r w:rsidRPr="00BA3C8E">
        <w:rPr>
          <w:rFonts w:ascii="Arial" w:hAnsi="Arial" w:cs="Arial"/>
          <w:sz w:val="24"/>
          <w:szCs w:val="24"/>
          <w:lang w:val="fr-FR"/>
        </w:rPr>
        <w:t>L’industrie a absorbé 16% du crédit total</w:t>
      </w:r>
    </w:p>
    <w:p w:rsidR="00637A96" w:rsidRPr="00BA3C8E" w:rsidRDefault="00637A96" w:rsidP="00BA3C8E">
      <w:pPr>
        <w:pStyle w:val="ListParagraph"/>
        <w:numPr>
          <w:ilvl w:val="0"/>
          <w:numId w:val="1"/>
        </w:numPr>
        <w:jc w:val="both"/>
        <w:rPr>
          <w:rFonts w:ascii="Arial" w:hAnsi="Arial" w:cs="Arial"/>
          <w:sz w:val="24"/>
          <w:szCs w:val="24"/>
          <w:lang w:val="fr-FR"/>
        </w:rPr>
      </w:pPr>
      <w:r w:rsidRPr="00BA3C8E">
        <w:rPr>
          <w:rFonts w:ascii="Arial" w:hAnsi="Arial" w:cs="Arial"/>
          <w:sz w:val="24"/>
          <w:szCs w:val="24"/>
          <w:lang w:val="fr-FR"/>
        </w:rPr>
        <w:t>L’immobilier a représenté 15% du crédit total</w:t>
      </w:r>
    </w:p>
    <w:p w:rsidR="00637A96" w:rsidRPr="00BA3C8E" w:rsidRDefault="00637A96" w:rsidP="00BA3C8E">
      <w:pPr>
        <w:pStyle w:val="ListParagraph"/>
        <w:numPr>
          <w:ilvl w:val="0"/>
          <w:numId w:val="1"/>
        </w:numPr>
        <w:jc w:val="both"/>
        <w:rPr>
          <w:rFonts w:ascii="Arial" w:hAnsi="Arial" w:cs="Arial"/>
          <w:sz w:val="24"/>
          <w:szCs w:val="24"/>
          <w:lang w:val="fr-FR"/>
        </w:rPr>
      </w:pPr>
      <w:r w:rsidRPr="00BA3C8E">
        <w:rPr>
          <w:rFonts w:ascii="Arial" w:hAnsi="Arial" w:cs="Arial"/>
          <w:sz w:val="24"/>
          <w:szCs w:val="24"/>
          <w:lang w:val="fr-FR"/>
        </w:rPr>
        <w:t>Le crédit à la consomm</w:t>
      </w:r>
      <w:r w:rsidR="00300E5A">
        <w:rPr>
          <w:rFonts w:ascii="Arial" w:hAnsi="Arial" w:cs="Arial"/>
          <w:sz w:val="24"/>
          <w:szCs w:val="24"/>
          <w:lang w:val="fr-FR"/>
        </w:rPr>
        <w:t xml:space="preserve">ation </w:t>
      </w:r>
      <w:r w:rsidRPr="00BA3C8E">
        <w:rPr>
          <w:rFonts w:ascii="Arial" w:hAnsi="Arial" w:cs="Arial"/>
          <w:sz w:val="24"/>
          <w:szCs w:val="24"/>
          <w:lang w:val="fr-FR"/>
        </w:rPr>
        <w:t>a représenté 10% du total</w:t>
      </w:r>
    </w:p>
    <w:p w:rsidR="00637A96" w:rsidRPr="00BA3C8E" w:rsidRDefault="00637A96" w:rsidP="00BA3C8E">
      <w:pPr>
        <w:pStyle w:val="ListParagraph"/>
        <w:numPr>
          <w:ilvl w:val="0"/>
          <w:numId w:val="1"/>
        </w:numPr>
        <w:jc w:val="both"/>
        <w:rPr>
          <w:rFonts w:ascii="Arial" w:hAnsi="Arial" w:cs="Arial"/>
          <w:sz w:val="24"/>
          <w:szCs w:val="24"/>
          <w:lang w:val="fr-FR"/>
        </w:rPr>
      </w:pPr>
      <w:r w:rsidRPr="00BA3C8E">
        <w:rPr>
          <w:rFonts w:ascii="Arial" w:hAnsi="Arial" w:cs="Arial"/>
          <w:sz w:val="24"/>
          <w:szCs w:val="24"/>
          <w:lang w:val="fr-FR"/>
        </w:rPr>
        <w:t xml:space="preserve">Les services, </w:t>
      </w:r>
      <w:r w:rsidR="00021109">
        <w:rPr>
          <w:rFonts w:ascii="Arial" w:hAnsi="Arial" w:cs="Arial"/>
          <w:sz w:val="24"/>
          <w:szCs w:val="24"/>
          <w:lang w:val="fr-FR"/>
        </w:rPr>
        <w:t>dont la communication, ont reçu</w:t>
      </w:r>
      <w:r w:rsidRPr="00BA3C8E">
        <w:rPr>
          <w:rFonts w:ascii="Arial" w:hAnsi="Arial" w:cs="Arial"/>
          <w:sz w:val="24"/>
          <w:szCs w:val="24"/>
          <w:lang w:val="fr-FR"/>
        </w:rPr>
        <w:t xml:space="preserve"> 17.3% du crédit</w:t>
      </w:r>
    </w:p>
    <w:p w:rsidR="00637A96" w:rsidRDefault="00637A96" w:rsidP="00BA3C8E">
      <w:pPr>
        <w:pStyle w:val="ListParagraph"/>
        <w:numPr>
          <w:ilvl w:val="0"/>
          <w:numId w:val="1"/>
        </w:numPr>
        <w:jc w:val="both"/>
        <w:rPr>
          <w:rFonts w:ascii="Arial" w:hAnsi="Arial" w:cs="Arial"/>
          <w:sz w:val="24"/>
          <w:szCs w:val="24"/>
          <w:lang w:val="fr-FR"/>
        </w:rPr>
      </w:pPr>
      <w:r w:rsidRPr="00BA3C8E">
        <w:rPr>
          <w:rFonts w:ascii="Arial" w:hAnsi="Arial" w:cs="Arial"/>
          <w:sz w:val="24"/>
          <w:szCs w:val="24"/>
          <w:lang w:val="fr-FR"/>
        </w:rPr>
        <w:t>Tous les autres secteurs, y compris l’agriculture,  ont représenté 16.6% du crédit disponible</w:t>
      </w:r>
    </w:p>
    <w:p w:rsidR="00BA3C8E" w:rsidRDefault="00BA3C8E" w:rsidP="00BA3C8E">
      <w:pPr>
        <w:jc w:val="both"/>
        <w:rPr>
          <w:rFonts w:ascii="Arial" w:hAnsi="Arial" w:cs="Arial"/>
          <w:sz w:val="24"/>
          <w:szCs w:val="24"/>
          <w:lang w:val="fr-FR"/>
        </w:rPr>
      </w:pPr>
      <w:r>
        <w:rPr>
          <w:rFonts w:ascii="Arial" w:hAnsi="Arial" w:cs="Arial"/>
          <w:sz w:val="24"/>
          <w:szCs w:val="24"/>
          <w:lang w:val="fr-FR"/>
        </w:rPr>
        <w:t>Le crédit à l’économie a pour source principale la captation des ressources des épargnants et est considérée comme l’une des contreparties de la masse monétaire. Les contreparties de la masse monétaire sont ventilées comme suit en 2011/2012 :</w:t>
      </w:r>
    </w:p>
    <w:p w:rsidR="00BA3C8E" w:rsidRPr="00BA3C8E" w:rsidRDefault="00BA3C8E" w:rsidP="00BA3C8E">
      <w:pPr>
        <w:pStyle w:val="NoSpacing"/>
        <w:rPr>
          <w:rFonts w:ascii="Arial" w:hAnsi="Arial" w:cs="Arial"/>
          <w:sz w:val="24"/>
          <w:szCs w:val="24"/>
          <w:lang w:val="fr-FR"/>
        </w:rPr>
      </w:pPr>
      <w:r w:rsidRPr="00BA3C8E">
        <w:rPr>
          <w:rFonts w:ascii="Arial" w:hAnsi="Arial" w:cs="Arial"/>
          <w:sz w:val="24"/>
          <w:szCs w:val="24"/>
          <w:lang w:val="fr-FR"/>
        </w:rPr>
        <w:t>Réserves nettes de change</w:t>
      </w:r>
      <w:r w:rsidRPr="00BA3C8E">
        <w:rPr>
          <w:rFonts w:ascii="Arial" w:hAnsi="Arial" w:cs="Arial"/>
          <w:sz w:val="24"/>
          <w:szCs w:val="24"/>
          <w:lang w:val="fr-FR"/>
        </w:rPr>
        <w:tab/>
        <w:t>115.9 milliards de gourdes ou (2.740 milliards US)</w:t>
      </w:r>
    </w:p>
    <w:p w:rsidR="00BA3C8E" w:rsidRPr="00BA3C8E" w:rsidRDefault="00BA3C8E" w:rsidP="00BA3C8E">
      <w:pPr>
        <w:pStyle w:val="NoSpacing"/>
        <w:rPr>
          <w:rFonts w:ascii="Arial" w:hAnsi="Arial" w:cs="Arial"/>
          <w:sz w:val="24"/>
          <w:szCs w:val="24"/>
          <w:lang w:val="fr-FR"/>
        </w:rPr>
      </w:pPr>
      <w:r w:rsidRPr="00BA3C8E">
        <w:rPr>
          <w:rFonts w:ascii="Arial" w:hAnsi="Arial" w:cs="Arial"/>
          <w:sz w:val="24"/>
          <w:szCs w:val="24"/>
          <w:lang w:val="fr-FR"/>
        </w:rPr>
        <w:t>Crédit intérieur  net</w:t>
      </w:r>
      <w:r w:rsidRPr="00BA3C8E">
        <w:rPr>
          <w:rFonts w:ascii="Arial" w:hAnsi="Arial" w:cs="Arial"/>
          <w:sz w:val="24"/>
          <w:szCs w:val="24"/>
          <w:lang w:val="fr-FR"/>
        </w:rPr>
        <w:tab/>
      </w:r>
      <w:r w:rsidRPr="00BA3C8E">
        <w:rPr>
          <w:rFonts w:ascii="Arial" w:hAnsi="Arial" w:cs="Arial"/>
          <w:sz w:val="24"/>
          <w:szCs w:val="24"/>
          <w:lang w:val="fr-FR"/>
        </w:rPr>
        <w:tab/>
      </w:r>
      <w:r w:rsidRPr="00BA3C8E">
        <w:rPr>
          <w:rFonts w:ascii="Arial" w:hAnsi="Arial" w:cs="Arial"/>
          <w:sz w:val="24"/>
          <w:szCs w:val="24"/>
          <w:lang w:val="fr-FR"/>
        </w:rPr>
        <w:tab/>
        <w:t xml:space="preserve">  33.0 milliards de gourdes</w:t>
      </w:r>
    </w:p>
    <w:p w:rsidR="00BA3C8E" w:rsidRPr="00BA3C8E" w:rsidRDefault="00BA3C8E" w:rsidP="00BA3C8E">
      <w:pPr>
        <w:pStyle w:val="NoSpacing"/>
        <w:rPr>
          <w:rFonts w:ascii="Arial" w:hAnsi="Arial" w:cs="Arial"/>
          <w:sz w:val="24"/>
          <w:szCs w:val="24"/>
          <w:lang w:val="fr-FR"/>
        </w:rPr>
      </w:pPr>
      <w:r w:rsidRPr="00BA3C8E">
        <w:rPr>
          <w:rFonts w:ascii="Arial" w:hAnsi="Arial" w:cs="Arial"/>
          <w:sz w:val="24"/>
          <w:szCs w:val="24"/>
          <w:lang w:val="fr-FR"/>
        </w:rPr>
        <w:tab/>
        <w:t>Crédit au secteur privé</w:t>
      </w:r>
      <w:r w:rsidRPr="00BA3C8E">
        <w:rPr>
          <w:rFonts w:ascii="Arial" w:hAnsi="Arial" w:cs="Arial"/>
          <w:sz w:val="24"/>
          <w:szCs w:val="24"/>
          <w:lang w:val="fr-FR"/>
        </w:rPr>
        <w:tab/>
        <w:t xml:space="preserve">  65.5 milliards de gourdes</w:t>
      </w:r>
    </w:p>
    <w:p w:rsidR="00BA3C8E" w:rsidRDefault="00BA3C8E" w:rsidP="00BA3C8E">
      <w:pPr>
        <w:pStyle w:val="NoSpacing"/>
        <w:rPr>
          <w:rFonts w:ascii="Arial" w:hAnsi="Arial" w:cs="Arial"/>
          <w:sz w:val="24"/>
          <w:szCs w:val="24"/>
          <w:lang w:val="fr-FR"/>
        </w:rPr>
      </w:pPr>
      <w:r w:rsidRPr="00BA3C8E">
        <w:rPr>
          <w:rFonts w:ascii="Arial" w:hAnsi="Arial" w:cs="Arial"/>
          <w:sz w:val="24"/>
          <w:szCs w:val="24"/>
          <w:lang w:val="fr-FR"/>
        </w:rPr>
        <w:tab/>
        <w:t>Crédit au secteur public</w:t>
      </w:r>
      <w:r w:rsidRPr="00BA3C8E">
        <w:rPr>
          <w:rFonts w:ascii="Arial" w:hAnsi="Arial" w:cs="Arial"/>
          <w:sz w:val="24"/>
          <w:szCs w:val="24"/>
          <w:lang w:val="fr-FR"/>
        </w:rPr>
        <w:tab/>
      </w:r>
      <w:r w:rsidR="00021109">
        <w:rPr>
          <w:rFonts w:ascii="Arial" w:hAnsi="Arial" w:cs="Arial"/>
          <w:sz w:val="24"/>
          <w:szCs w:val="24"/>
          <w:lang w:val="fr-FR"/>
        </w:rPr>
        <w:t xml:space="preserve"> -</w:t>
      </w:r>
      <w:r w:rsidRPr="00BA3C8E">
        <w:rPr>
          <w:rFonts w:ascii="Arial" w:hAnsi="Arial" w:cs="Arial"/>
          <w:sz w:val="24"/>
          <w:szCs w:val="24"/>
          <w:lang w:val="fr-FR"/>
        </w:rPr>
        <w:t>17.4</w:t>
      </w:r>
      <w:r w:rsidRPr="00BA3C8E">
        <w:rPr>
          <w:rFonts w:ascii="Arial" w:hAnsi="Arial" w:cs="Arial"/>
          <w:sz w:val="24"/>
          <w:szCs w:val="24"/>
          <w:lang w:val="fr-FR"/>
        </w:rPr>
        <w:tab/>
        <w:t>milliards de gourdes</w:t>
      </w:r>
    </w:p>
    <w:p w:rsidR="00BA3C8E" w:rsidRDefault="00BA3C8E" w:rsidP="00BA3C8E">
      <w:pPr>
        <w:pStyle w:val="NoSpacing"/>
        <w:rPr>
          <w:rFonts w:ascii="Arial" w:hAnsi="Arial" w:cs="Arial"/>
          <w:sz w:val="24"/>
          <w:szCs w:val="24"/>
          <w:lang w:val="fr-FR"/>
        </w:rPr>
      </w:pPr>
      <w:r>
        <w:rPr>
          <w:rFonts w:ascii="Arial" w:hAnsi="Arial" w:cs="Arial"/>
          <w:sz w:val="24"/>
          <w:szCs w:val="24"/>
          <w:lang w:val="fr-FR"/>
        </w:rPr>
        <w:tab/>
      </w:r>
      <w:r w:rsidR="002B2ACB">
        <w:rPr>
          <w:rFonts w:ascii="Arial" w:hAnsi="Arial" w:cs="Arial"/>
          <w:sz w:val="24"/>
          <w:szCs w:val="24"/>
          <w:lang w:val="fr-FR"/>
        </w:rPr>
        <w:t>A</w:t>
      </w:r>
      <w:r>
        <w:rPr>
          <w:rFonts w:ascii="Arial" w:hAnsi="Arial" w:cs="Arial"/>
          <w:sz w:val="24"/>
          <w:szCs w:val="24"/>
          <w:lang w:val="fr-FR"/>
        </w:rPr>
        <w:t>utres</w:t>
      </w:r>
      <w:r w:rsidR="002B2ACB">
        <w:rPr>
          <w:rFonts w:ascii="Arial" w:hAnsi="Arial" w:cs="Arial"/>
          <w:sz w:val="24"/>
          <w:szCs w:val="24"/>
          <w:lang w:val="fr-FR"/>
        </w:rPr>
        <w:t xml:space="preserve"> </w:t>
      </w:r>
      <w:r w:rsidR="00021109">
        <w:rPr>
          <w:rFonts w:ascii="Arial" w:hAnsi="Arial" w:cs="Arial"/>
          <w:sz w:val="24"/>
          <w:szCs w:val="24"/>
          <w:lang w:val="fr-FR"/>
        </w:rPr>
        <w:tab/>
      </w:r>
      <w:r w:rsidR="00021109">
        <w:rPr>
          <w:rFonts w:ascii="Arial" w:hAnsi="Arial" w:cs="Arial"/>
          <w:sz w:val="24"/>
          <w:szCs w:val="24"/>
          <w:lang w:val="fr-FR"/>
        </w:rPr>
        <w:tab/>
      </w:r>
      <w:r w:rsidR="00021109">
        <w:rPr>
          <w:rFonts w:ascii="Arial" w:hAnsi="Arial" w:cs="Arial"/>
          <w:sz w:val="24"/>
          <w:szCs w:val="24"/>
          <w:lang w:val="fr-FR"/>
        </w:rPr>
        <w:tab/>
        <w:t xml:space="preserve"> -</w:t>
      </w:r>
      <w:r w:rsidR="002B2ACB">
        <w:rPr>
          <w:rFonts w:ascii="Arial" w:hAnsi="Arial" w:cs="Arial"/>
          <w:sz w:val="24"/>
          <w:szCs w:val="24"/>
          <w:lang w:val="fr-FR"/>
        </w:rPr>
        <w:t>15.1 milliards de gourdes</w:t>
      </w:r>
    </w:p>
    <w:p w:rsidR="002B2ACB" w:rsidRDefault="002B2ACB" w:rsidP="00BA3C8E">
      <w:pPr>
        <w:pStyle w:val="NoSpacing"/>
        <w:rPr>
          <w:rFonts w:ascii="Arial" w:hAnsi="Arial" w:cs="Arial"/>
          <w:sz w:val="24"/>
          <w:szCs w:val="24"/>
          <w:lang w:val="fr-FR"/>
        </w:rPr>
      </w:pPr>
    </w:p>
    <w:p w:rsidR="002B2ACB" w:rsidRPr="002B2ACB" w:rsidRDefault="002B2ACB" w:rsidP="00BA3C8E">
      <w:pPr>
        <w:pStyle w:val="NoSpacing"/>
        <w:rPr>
          <w:rFonts w:ascii="Arial" w:hAnsi="Arial" w:cs="Arial"/>
          <w:b/>
          <w:sz w:val="24"/>
          <w:szCs w:val="24"/>
          <w:lang w:val="fr-FR"/>
        </w:rPr>
      </w:pPr>
      <w:r w:rsidRPr="002B2ACB">
        <w:rPr>
          <w:rFonts w:ascii="Arial" w:hAnsi="Arial" w:cs="Arial"/>
          <w:b/>
          <w:sz w:val="24"/>
          <w:szCs w:val="24"/>
          <w:lang w:val="fr-FR"/>
        </w:rPr>
        <w:t>Total bilan</w:t>
      </w:r>
      <w:r w:rsidRPr="002B2ACB">
        <w:rPr>
          <w:rFonts w:ascii="Arial" w:hAnsi="Arial" w:cs="Arial"/>
          <w:b/>
          <w:sz w:val="24"/>
          <w:szCs w:val="24"/>
          <w:lang w:val="fr-FR"/>
        </w:rPr>
        <w:tab/>
      </w:r>
      <w:r w:rsidRPr="002B2ACB">
        <w:rPr>
          <w:rFonts w:ascii="Arial" w:hAnsi="Arial" w:cs="Arial"/>
          <w:b/>
          <w:sz w:val="24"/>
          <w:szCs w:val="24"/>
          <w:lang w:val="fr-FR"/>
        </w:rPr>
        <w:tab/>
      </w:r>
      <w:r w:rsidRPr="002B2ACB">
        <w:rPr>
          <w:rFonts w:ascii="Arial" w:hAnsi="Arial" w:cs="Arial"/>
          <w:b/>
          <w:sz w:val="24"/>
          <w:szCs w:val="24"/>
          <w:lang w:val="fr-FR"/>
        </w:rPr>
        <w:tab/>
      </w:r>
      <w:r w:rsidRPr="002B2ACB">
        <w:rPr>
          <w:rFonts w:ascii="Arial" w:hAnsi="Arial" w:cs="Arial"/>
          <w:b/>
          <w:sz w:val="24"/>
          <w:szCs w:val="24"/>
          <w:lang w:val="fr-FR"/>
        </w:rPr>
        <w:tab/>
        <w:t>148.9 milliards de gourdes</w:t>
      </w:r>
    </w:p>
    <w:p w:rsidR="00BA3C8E" w:rsidRDefault="00BA3C8E" w:rsidP="00BA3C8E">
      <w:pPr>
        <w:jc w:val="both"/>
        <w:rPr>
          <w:rFonts w:ascii="Arial" w:hAnsi="Arial" w:cs="Arial"/>
          <w:sz w:val="24"/>
          <w:szCs w:val="24"/>
          <w:lang w:val="fr-FR"/>
        </w:rPr>
      </w:pPr>
      <w:r>
        <w:rPr>
          <w:rFonts w:ascii="Arial" w:hAnsi="Arial" w:cs="Arial"/>
          <w:sz w:val="24"/>
          <w:szCs w:val="24"/>
          <w:lang w:val="fr-FR"/>
        </w:rPr>
        <w:tab/>
      </w:r>
    </w:p>
    <w:p w:rsidR="00ED0F46" w:rsidRDefault="00ED0F46" w:rsidP="00BA3C8E">
      <w:pPr>
        <w:jc w:val="both"/>
        <w:rPr>
          <w:rFonts w:ascii="Arial" w:hAnsi="Arial" w:cs="Arial"/>
          <w:sz w:val="24"/>
          <w:szCs w:val="24"/>
          <w:lang w:val="fr-FR"/>
        </w:rPr>
      </w:pPr>
    </w:p>
    <w:p w:rsidR="00ED0F46" w:rsidRDefault="00ED0F46" w:rsidP="00ED0F46">
      <w:pPr>
        <w:jc w:val="center"/>
        <w:rPr>
          <w:rFonts w:ascii="Arial" w:hAnsi="Arial" w:cs="Arial"/>
          <w:sz w:val="24"/>
          <w:szCs w:val="24"/>
          <w:lang w:val="fr-FR"/>
        </w:rPr>
      </w:pPr>
      <w:r>
        <w:rPr>
          <w:rFonts w:ascii="Arial" w:hAnsi="Arial" w:cs="Arial"/>
          <w:sz w:val="24"/>
          <w:szCs w:val="24"/>
          <w:lang w:val="fr-FR"/>
        </w:rPr>
        <w:t>-2-</w:t>
      </w:r>
    </w:p>
    <w:p w:rsidR="00ED0F46" w:rsidRDefault="00ED0F46" w:rsidP="00ED0F46">
      <w:pPr>
        <w:jc w:val="center"/>
        <w:rPr>
          <w:rFonts w:ascii="Arial" w:hAnsi="Arial" w:cs="Arial"/>
          <w:sz w:val="24"/>
          <w:szCs w:val="24"/>
          <w:lang w:val="fr-FR"/>
        </w:rPr>
      </w:pPr>
    </w:p>
    <w:p w:rsidR="00ED0F46" w:rsidRDefault="00ED0F46" w:rsidP="00ED0F46">
      <w:pPr>
        <w:jc w:val="both"/>
        <w:rPr>
          <w:rFonts w:ascii="Arial" w:hAnsi="Arial" w:cs="Arial"/>
          <w:sz w:val="24"/>
          <w:szCs w:val="24"/>
          <w:lang w:val="fr-FR"/>
        </w:rPr>
      </w:pPr>
      <w:r>
        <w:rPr>
          <w:rFonts w:ascii="Arial" w:hAnsi="Arial" w:cs="Arial"/>
          <w:sz w:val="24"/>
          <w:szCs w:val="24"/>
          <w:lang w:val="fr-FR"/>
        </w:rPr>
        <w:t xml:space="preserve">Le crédit au secteur privé représente 65% de la </w:t>
      </w:r>
      <w:r w:rsidR="003F298B">
        <w:rPr>
          <w:rFonts w:ascii="Arial" w:hAnsi="Arial" w:cs="Arial"/>
          <w:sz w:val="24"/>
          <w:szCs w:val="24"/>
          <w:lang w:val="fr-FR"/>
        </w:rPr>
        <w:t>masse monétaire  au sens large e</w:t>
      </w:r>
      <w:r>
        <w:rPr>
          <w:rFonts w:ascii="Arial" w:hAnsi="Arial" w:cs="Arial"/>
          <w:sz w:val="24"/>
          <w:szCs w:val="24"/>
          <w:lang w:val="fr-FR"/>
        </w:rPr>
        <w:t>n 2011/2012.  Cette tendance a été de 31</w:t>
      </w:r>
      <w:r w:rsidR="003F298B">
        <w:rPr>
          <w:rFonts w:ascii="Arial" w:hAnsi="Arial" w:cs="Arial"/>
          <w:sz w:val="24"/>
          <w:szCs w:val="24"/>
          <w:lang w:val="fr-FR"/>
        </w:rPr>
        <w:t>%</w:t>
      </w:r>
      <w:r>
        <w:rPr>
          <w:rFonts w:ascii="Arial" w:hAnsi="Arial" w:cs="Arial"/>
          <w:sz w:val="24"/>
          <w:szCs w:val="24"/>
          <w:lang w:val="fr-FR"/>
        </w:rPr>
        <w:t xml:space="preserve"> en 2009/2010 et est projetée à 47% en 2013.</w:t>
      </w:r>
    </w:p>
    <w:p w:rsidR="00ED0F46" w:rsidRDefault="00ED0F46" w:rsidP="00ED0F46">
      <w:pPr>
        <w:jc w:val="both"/>
        <w:rPr>
          <w:rFonts w:ascii="Arial" w:hAnsi="Arial" w:cs="Arial"/>
          <w:sz w:val="24"/>
          <w:szCs w:val="24"/>
          <w:lang w:val="fr-FR"/>
        </w:rPr>
      </w:pPr>
      <w:r>
        <w:rPr>
          <w:rFonts w:ascii="Arial" w:hAnsi="Arial" w:cs="Arial"/>
          <w:sz w:val="24"/>
          <w:szCs w:val="24"/>
          <w:lang w:val="fr-FR"/>
        </w:rPr>
        <w:t>Cette nouvelle tendance de crédit résulte des ajustements opérés dans la politique monétaire afin de stabiliser le change et les prix intérieurs.</w:t>
      </w:r>
    </w:p>
    <w:p w:rsidR="00ED0F46" w:rsidRDefault="00ED0F46" w:rsidP="00ED0F46">
      <w:pPr>
        <w:jc w:val="both"/>
        <w:rPr>
          <w:rFonts w:ascii="Arial" w:hAnsi="Arial" w:cs="Arial"/>
          <w:sz w:val="24"/>
          <w:szCs w:val="24"/>
          <w:lang w:val="fr-FR"/>
        </w:rPr>
      </w:pPr>
    </w:p>
    <w:p w:rsidR="00ED0F46" w:rsidRDefault="00ED0F46" w:rsidP="003F298B">
      <w:pPr>
        <w:rPr>
          <w:rFonts w:ascii="Arial" w:hAnsi="Arial" w:cs="Arial"/>
          <w:b/>
          <w:sz w:val="24"/>
          <w:szCs w:val="24"/>
          <w:lang w:val="fr-FR"/>
        </w:rPr>
      </w:pPr>
      <w:r w:rsidRPr="003F298B">
        <w:rPr>
          <w:rFonts w:ascii="Arial" w:hAnsi="Arial" w:cs="Arial"/>
          <w:b/>
          <w:sz w:val="24"/>
          <w:szCs w:val="24"/>
          <w:lang w:val="fr-FR"/>
        </w:rPr>
        <w:t>Les entraves au crédit</w:t>
      </w:r>
    </w:p>
    <w:p w:rsidR="00300E5A" w:rsidRPr="00300E5A" w:rsidRDefault="00300E5A" w:rsidP="00300E5A">
      <w:pPr>
        <w:pStyle w:val="ListParagraph"/>
        <w:numPr>
          <w:ilvl w:val="0"/>
          <w:numId w:val="6"/>
        </w:numPr>
        <w:rPr>
          <w:rFonts w:ascii="Arial" w:hAnsi="Arial" w:cs="Arial"/>
          <w:b/>
          <w:sz w:val="24"/>
          <w:szCs w:val="24"/>
          <w:lang w:val="fr-FR"/>
        </w:rPr>
      </w:pPr>
      <w:r>
        <w:rPr>
          <w:rFonts w:ascii="Arial" w:hAnsi="Arial" w:cs="Arial"/>
          <w:b/>
          <w:sz w:val="24"/>
          <w:szCs w:val="24"/>
          <w:lang w:val="fr-FR"/>
        </w:rPr>
        <w:t>La programmation financière</w:t>
      </w:r>
    </w:p>
    <w:p w:rsidR="00ED0F46" w:rsidRDefault="00ED0F46" w:rsidP="00ED0F46">
      <w:pPr>
        <w:jc w:val="both"/>
        <w:rPr>
          <w:rFonts w:ascii="Arial" w:hAnsi="Arial" w:cs="Arial"/>
          <w:sz w:val="24"/>
          <w:szCs w:val="24"/>
          <w:lang w:val="fr-FR"/>
        </w:rPr>
      </w:pPr>
      <w:r>
        <w:rPr>
          <w:rFonts w:ascii="Arial" w:hAnsi="Arial" w:cs="Arial"/>
          <w:sz w:val="24"/>
          <w:szCs w:val="24"/>
          <w:lang w:val="fr-FR"/>
        </w:rPr>
        <w:t>Pour accorder du crédit, il faut avant tout créer des disponibilités monétaires.</w:t>
      </w:r>
    </w:p>
    <w:p w:rsidR="00ED0F46" w:rsidRDefault="00ED0F46" w:rsidP="00E00A73">
      <w:pPr>
        <w:pStyle w:val="ListParagraph"/>
        <w:numPr>
          <w:ilvl w:val="0"/>
          <w:numId w:val="2"/>
        </w:numPr>
        <w:jc w:val="both"/>
        <w:rPr>
          <w:rFonts w:ascii="Arial" w:hAnsi="Arial" w:cs="Arial"/>
          <w:sz w:val="24"/>
          <w:szCs w:val="24"/>
          <w:lang w:val="fr-FR"/>
        </w:rPr>
      </w:pPr>
      <w:r w:rsidRPr="00E00A73">
        <w:rPr>
          <w:rFonts w:ascii="Arial" w:hAnsi="Arial" w:cs="Arial"/>
          <w:sz w:val="24"/>
          <w:szCs w:val="24"/>
          <w:lang w:val="fr-FR"/>
        </w:rPr>
        <w:t>La programmation financière effectuée dans le cadre, soit des p</w:t>
      </w:r>
      <w:r w:rsidR="003F298B">
        <w:rPr>
          <w:rFonts w:ascii="Arial" w:hAnsi="Arial" w:cs="Arial"/>
          <w:sz w:val="24"/>
          <w:szCs w:val="24"/>
          <w:lang w:val="fr-FR"/>
        </w:rPr>
        <w:t>rogrammes de stabilisation macro</w:t>
      </w:r>
      <w:r w:rsidRPr="00E00A73">
        <w:rPr>
          <w:rFonts w:ascii="Arial" w:hAnsi="Arial" w:cs="Arial"/>
          <w:sz w:val="24"/>
          <w:szCs w:val="24"/>
          <w:lang w:val="fr-FR"/>
        </w:rPr>
        <w:t>économique soit des programmes d’ajustement structurel et tout récemment des programmes de lutte contre la pauvreté</w:t>
      </w:r>
      <w:r w:rsidR="00E54C69">
        <w:rPr>
          <w:rFonts w:ascii="Arial" w:hAnsi="Arial" w:cs="Arial"/>
          <w:sz w:val="24"/>
          <w:szCs w:val="24"/>
          <w:lang w:val="fr-FR"/>
        </w:rPr>
        <w:t>,</w:t>
      </w:r>
      <w:r w:rsidRPr="00E00A73">
        <w:rPr>
          <w:rFonts w:ascii="Arial" w:hAnsi="Arial" w:cs="Arial"/>
          <w:sz w:val="24"/>
          <w:szCs w:val="24"/>
          <w:lang w:val="fr-FR"/>
        </w:rPr>
        <w:t xml:space="preserve"> a toujours recherché une croissance de la masse monétaire compatible avec les r</w:t>
      </w:r>
      <w:r w:rsidR="003F298B">
        <w:rPr>
          <w:rFonts w:ascii="Arial" w:hAnsi="Arial" w:cs="Arial"/>
          <w:sz w:val="24"/>
          <w:szCs w:val="24"/>
          <w:lang w:val="fr-FR"/>
        </w:rPr>
        <w:t>é</w:t>
      </w:r>
      <w:r w:rsidRPr="00E00A73">
        <w:rPr>
          <w:rFonts w:ascii="Arial" w:hAnsi="Arial" w:cs="Arial"/>
          <w:sz w:val="24"/>
          <w:szCs w:val="24"/>
          <w:lang w:val="fr-FR"/>
        </w:rPr>
        <w:t>serves de change</w:t>
      </w:r>
      <w:r w:rsidR="00E54C69">
        <w:rPr>
          <w:rFonts w:ascii="Arial" w:hAnsi="Arial" w:cs="Arial"/>
          <w:sz w:val="24"/>
          <w:szCs w:val="24"/>
          <w:lang w:val="fr-FR"/>
        </w:rPr>
        <w:t xml:space="preserve"> dont</w:t>
      </w:r>
      <w:r w:rsidRPr="00E00A73">
        <w:rPr>
          <w:rFonts w:ascii="Arial" w:hAnsi="Arial" w:cs="Arial"/>
          <w:sz w:val="24"/>
          <w:szCs w:val="24"/>
          <w:lang w:val="fr-FR"/>
        </w:rPr>
        <w:t xml:space="preserve"> dispose le pays afin de stabiliser les prix dans l’économie, une priorité de la politique monétaire.</w:t>
      </w:r>
    </w:p>
    <w:p w:rsidR="00E00A73" w:rsidRPr="00E00A73" w:rsidRDefault="00E00A73" w:rsidP="00E00A73">
      <w:pPr>
        <w:pStyle w:val="ListParagraph"/>
        <w:jc w:val="both"/>
        <w:rPr>
          <w:rFonts w:ascii="Arial" w:hAnsi="Arial" w:cs="Arial"/>
          <w:sz w:val="24"/>
          <w:szCs w:val="24"/>
          <w:lang w:val="fr-FR"/>
        </w:rPr>
      </w:pPr>
    </w:p>
    <w:p w:rsidR="00ED0F46" w:rsidRDefault="00ED0F46" w:rsidP="00E00A73">
      <w:pPr>
        <w:pStyle w:val="ListParagraph"/>
        <w:numPr>
          <w:ilvl w:val="0"/>
          <w:numId w:val="2"/>
        </w:numPr>
        <w:jc w:val="both"/>
        <w:rPr>
          <w:rFonts w:ascii="Arial" w:hAnsi="Arial" w:cs="Arial"/>
          <w:sz w:val="24"/>
          <w:szCs w:val="24"/>
          <w:lang w:val="fr-FR"/>
        </w:rPr>
      </w:pPr>
      <w:r w:rsidRPr="00E00A73">
        <w:rPr>
          <w:rFonts w:ascii="Arial" w:hAnsi="Arial" w:cs="Arial"/>
          <w:sz w:val="24"/>
          <w:szCs w:val="24"/>
          <w:lang w:val="fr-FR"/>
        </w:rPr>
        <w:t>L’évolution récente du crédit à l’économie, plus de 25% de croissance en 2011/2012, et les mesures subséquentes prises en 2012/2013 pour stabiliser le taux de change notamment la hausse des coefficients de réserves</w:t>
      </w:r>
      <w:r w:rsidR="00E00A73" w:rsidRPr="00E00A73">
        <w:rPr>
          <w:rFonts w:ascii="Arial" w:hAnsi="Arial" w:cs="Arial"/>
          <w:sz w:val="24"/>
          <w:szCs w:val="24"/>
          <w:lang w:val="fr-FR"/>
        </w:rPr>
        <w:t xml:space="preserve"> obligatoires pour assécher les liquidités bancaires et </w:t>
      </w:r>
      <w:r w:rsidR="00E54C69">
        <w:rPr>
          <w:rFonts w:ascii="Arial" w:hAnsi="Arial" w:cs="Arial"/>
          <w:sz w:val="24"/>
          <w:szCs w:val="24"/>
          <w:lang w:val="fr-FR"/>
        </w:rPr>
        <w:t>casser</w:t>
      </w:r>
      <w:r w:rsidR="00E00A73" w:rsidRPr="00E00A73">
        <w:rPr>
          <w:rFonts w:ascii="Arial" w:hAnsi="Arial" w:cs="Arial"/>
          <w:sz w:val="24"/>
          <w:szCs w:val="24"/>
          <w:lang w:val="fr-FR"/>
        </w:rPr>
        <w:t xml:space="preserve"> le rythme de croissance</w:t>
      </w:r>
      <w:r w:rsidR="00E54C69">
        <w:rPr>
          <w:rFonts w:ascii="Arial" w:hAnsi="Arial" w:cs="Arial"/>
          <w:sz w:val="24"/>
          <w:szCs w:val="24"/>
          <w:lang w:val="fr-FR"/>
        </w:rPr>
        <w:t xml:space="preserve"> du crédit </w:t>
      </w:r>
      <w:r w:rsidR="00E00A73" w:rsidRPr="00E00A73">
        <w:rPr>
          <w:rFonts w:ascii="Arial" w:hAnsi="Arial" w:cs="Arial"/>
          <w:sz w:val="24"/>
          <w:szCs w:val="24"/>
          <w:lang w:val="fr-FR"/>
        </w:rPr>
        <w:t xml:space="preserve"> montrent que l’une des entraves au développement du crédit se situe au niveau de la programmation financière et du cadrage macroéconomique de même que les instruments utilisés : réserves obligatoires non rémunérées à 39% en 2013, les opérations d’open </w:t>
      </w:r>
      <w:proofErr w:type="spellStart"/>
      <w:r w:rsidR="00E00A73" w:rsidRPr="00E00A73">
        <w:rPr>
          <w:rFonts w:ascii="Arial" w:hAnsi="Arial" w:cs="Arial"/>
          <w:sz w:val="24"/>
          <w:szCs w:val="24"/>
          <w:lang w:val="fr-FR"/>
        </w:rPr>
        <w:t>market</w:t>
      </w:r>
      <w:proofErr w:type="spellEnd"/>
      <w:r w:rsidR="00E00A73" w:rsidRPr="00E00A73">
        <w:rPr>
          <w:rFonts w:ascii="Arial" w:hAnsi="Arial" w:cs="Arial"/>
          <w:sz w:val="24"/>
          <w:szCs w:val="24"/>
          <w:lang w:val="fr-FR"/>
        </w:rPr>
        <w:t>, particulièrement les placements sous forme de Bons pour capter la liquidité excédentaire des banques, résulta</w:t>
      </w:r>
      <w:r w:rsidR="00300E5A">
        <w:rPr>
          <w:rFonts w:ascii="Arial" w:hAnsi="Arial" w:cs="Arial"/>
          <w:sz w:val="24"/>
          <w:szCs w:val="24"/>
          <w:lang w:val="fr-FR"/>
        </w:rPr>
        <w:t>n</w:t>
      </w:r>
      <w:r w:rsidR="00E00A73" w:rsidRPr="00E00A73">
        <w:rPr>
          <w:rFonts w:ascii="Arial" w:hAnsi="Arial" w:cs="Arial"/>
          <w:sz w:val="24"/>
          <w:szCs w:val="24"/>
          <w:lang w:val="fr-FR"/>
        </w:rPr>
        <w:t>t du financement monétaire du déficit public et récemment les swap</w:t>
      </w:r>
      <w:r w:rsidR="00E00A73">
        <w:rPr>
          <w:rFonts w:ascii="Arial" w:hAnsi="Arial" w:cs="Arial"/>
          <w:sz w:val="24"/>
          <w:szCs w:val="24"/>
          <w:lang w:val="fr-FR"/>
        </w:rPr>
        <w:t>s</w:t>
      </w:r>
      <w:r w:rsidR="00E00A73" w:rsidRPr="00E00A73">
        <w:rPr>
          <w:rFonts w:ascii="Arial" w:hAnsi="Arial" w:cs="Arial"/>
          <w:sz w:val="24"/>
          <w:szCs w:val="24"/>
          <w:lang w:val="fr-FR"/>
        </w:rPr>
        <w:t xml:space="preserve"> de devises contre monnaie nationale.</w:t>
      </w:r>
    </w:p>
    <w:p w:rsidR="00E00A73" w:rsidRPr="00E00A73" w:rsidRDefault="00E00A73" w:rsidP="00E00A73">
      <w:pPr>
        <w:pStyle w:val="ListParagraph"/>
        <w:rPr>
          <w:rFonts w:ascii="Arial" w:hAnsi="Arial" w:cs="Arial"/>
          <w:sz w:val="24"/>
          <w:szCs w:val="24"/>
          <w:lang w:val="fr-FR"/>
        </w:rPr>
      </w:pPr>
    </w:p>
    <w:p w:rsidR="00E00A73" w:rsidRDefault="00E00A73" w:rsidP="00E00A73">
      <w:pPr>
        <w:pStyle w:val="ListParagraph"/>
        <w:numPr>
          <w:ilvl w:val="0"/>
          <w:numId w:val="2"/>
        </w:numPr>
        <w:jc w:val="both"/>
        <w:rPr>
          <w:rFonts w:ascii="Arial" w:hAnsi="Arial" w:cs="Arial"/>
          <w:sz w:val="24"/>
          <w:szCs w:val="24"/>
          <w:lang w:val="fr-FR"/>
        </w:rPr>
      </w:pPr>
      <w:r w:rsidRPr="00E00A73">
        <w:rPr>
          <w:rFonts w:ascii="Arial" w:hAnsi="Arial" w:cs="Arial"/>
          <w:sz w:val="24"/>
          <w:szCs w:val="24"/>
          <w:lang w:val="fr-FR"/>
        </w:rPr>
        <w:t>Les dépôts des banques commerciales stérilisées à la Banque Centrale au 5 juillet s’élèvent respectivement à 20.8 milliards de gourdes et 760.4 millions de dollars (soit un total équivalent à 54 milliards de gourdes) au 5 juillet 2013</w:t>
      </w:r>
    </w:p>
    <w:p w:rsidR="00EF1BCF" w:rsidRPr="00EF1BCF" w:rsidRDefault="00EF1BCF" w:rsidP="00EF1BCF">
      <w:pPr>
        <w:pStyle w:val="ListParagraph"/>
        <w:rPr>
          <w:rFonts w:ascii="Arial" w:hAnsi="Arial" w:cs="Arial"/>
          <w:sz w:val="24"/>
          <w:szCs w:val="24"/>
          <w:lang w:val="fr-FR"/>
        </w:rPr>
      </w:pPr>
    </w:p>
    <w:p w:rsidR="00EF1BCF" w:rsidRDefault="00EF1BCF" w:rsidP="00E00A73">
      <w:pPr>
        <w:pStyle w:val="ListParagraph"/>
        <w:numPr>
          <w:ilvl w:val="0"/>
          <w:numId w:val="2"/>
        </w:numPr>
        <w:jc w:val="both"/>
        <w:rPr>
          <w:rFonts w:ascii="Arial" w:hAnsi="Arial" w:cs="Arial"/>
          <w:sz w:val="24"/>
          <w:szCs w:val="24"/>
          <w:lang w:val="fr-FR"/>
        </w:rPr>
      </w:pPr>
      <w:r>
        <w:rPr>
          <w:rFonts w:ascii="Arial" w:hAnsi="Arial" w:cs="Arial"/>
          <w:sz w:val="24"/>
          <w:szCs w:val="24"/>
          <w:lang w:val="fr-FR"/>
        </w:rPr>
        <w:t>L’encours des bons BRH au 3 juillet 2013 totalisant 5.5 milliards de gourdes</w:t>
      </w:r>
    </w:p>
    <w:p w:rsidR="00EF1BCF" w:rsidRPr="00EF1BCF" w:rsidRDefault="00EF1BCF" w:rsidP="00EF1BCF">
      <w:pPr>
        <w:pStyle w:val="ListParagraph"/>
        <w:rPr>
          <w:rFonts w:ascii="Arial" w:hAnsi="Arial" w:cs="Arial"/>
          <w:sz w:val="24"/>
          <w:szCs w:val="24"/>
          <w:lang w:val="fr-FR"/>
        </w:rPr>
      </w:pPr>
    </w:p>
    <w:p w:rsidR="00EF1BCF" w:rsidRPr="00EF1BCF" w:rsidRDefault="00EF1BCF" w:rsidP="00EF1BCF">
      <w:pPr>
        <w:jc w:val="center"/>
        <w:rPr>
          <w:rFonts w:ascii="Arial" w:hAnsi="Arial" w:cs="Arial"/>
          <w:sz w:val="24"/>
          <w:szCs w:val="24"/>
          <w:lang w:val="fr-FR"/>
        </w:rPr>
      </w:pPr>
      <w:r>
        <w:rPr>
          <w:rFonts w:ascii="Arial" w:hAnsi="Arial" w:cs="Arial"/>
          <w:sz w:val="24"/>
          <w:szCs w:val="24"/>
          <w:lang w:val="fr-FR"/>
        </w:rPr>
        <w:t>-3-</w:t>
      </w:r>
    </w:p>
    <w:p w:rsidR="00EF1BCF" w:rsidRPr="00EF1BCF" w:rsidRDefault="00EF1BCF" w:rsidP="00EF1BCF">
      <w:pPr>
        <w:pStyle w:val="ListParagraph"/>
        <w:rPr>
          <w:rFonts w:ascii="Arial" w:hAnsi="Arial" w:cs="Arial"/>
          <w:sz w:val="24"/>
          <w:szCs w:val="24"/>
          <w:lang w:val="fr-FR"/>
        </w:rPr>
      </w:pPr>
    </w:p>
    <w:p w:rsidR="00EF1BCF" w:rsidRDefault="00EF1BCF" w:rsidP="00EF1BCF">
      <w:pPr>
        <w:pStyle w:val="ListParagraph"/>
        <w:jc w:val="both"/>
        <w:rPr>
          <w:rFonts w:ascii="Arial" w:hAnsi="Arial" w:cs="Arial"/>
          <w:sz w:val="24"/>
          <w:szCs w:val="24"/>
          <w:lang w:val="fr-FR"/>
        </w:rPr>
      </w:pPr>
    </w:p>
    <w:p w:rsidR="00E913A6" w:rsidRDefault="00EF1BCF" w:rsidP="0047403D">
      <w:pPr>
        <w:pStyle w:val="ListParagraph"/>
        <w:numPr>
          <w:ilvl w:val="0"/>
          <w:numId w:val="2"/>
        </w:numPr>
        <w:jc w:val="both"/>
        <w:rPr>
          <w:rFonts w:ascii="Arial" w:hAnsi="Arial" w:cs="Arial"/>
          <w:sz w:val="24"/>
          <w:szCs w:val="24"/>
          <w:lang w:val="fr-FR"/>
        </w:rPr>
      </w:pPr>
      <w:r>
        <w:rPr>
          <w:rFonts w:ascii="Arial" w:hAnsi="Arial" w:cs="Arial"/>
          <w:sz w:val="24"/>
          <w:szCs w:val="24"/>
          <w:lang w:val="fr-FR"/>
        </w:rPr>
        <w:t xml:space="preserve">La liquidité bancaire pour la même période de l’année se trouve à un niveau extrêmement faible. La position de réserves des banques était de 1.6 milliards de gourdes – celle en devises se trouvait à 64.8 millions de dollars au 5 juillet 2013. Les ressources du système bancaire disponibles sont bien faibles par rapport aux besoins exprimés par les agents économiques et par rapport également aux </w:t>
      </w:r>
      <w:r w:rsidR="00D70441">
        <w:rPr>
          <w:rFonts w:ascii="Arial" w:hAnsi="Arial" w:cs="Arial"/>
          <w:sz w:val="24"/>
          <w:szCs w:val="24"/>
          <w:lang w:val="fr-FR"/>
        </w:rPr>
        <w:t>attentes</w:t>
      </w:r>
      <w:r>
        <w:rPr>
          <w:rFonts w:ascii="Arial" w:hAnsi="Arial" w:cs="Arial"/>
          <w:sz w:val="24"/>
          <w:szCs w:val="24"/>
          <w:lang w:val="fr-FR"/>
        </w:rPr>
        <w:t xml:space="preserve"> des autorités.</w:t>
      </w:r>
    </w:p>
    <w:p w:rsidR="00122518" w:rsidRDefault="00122518" w:rsidP="00122518">
      <w:pPr>
        <w:pStyle w:val="ListParagraph"/>
        <w:jc w:val="both"/>
        <w:rPr>
          <w:rFonts w:ascii="Arial" w:hAnsi="Arial" w:cs="Arial"/>
          <w:sz w:val="24"/>
          <w:szCs w:val="24"/>
          <w:lang w:val="fr-FR"/>
        </w:rPr>
      </w:pPr>
    </w:p>
    <w:p w:rsidR="00122518" w:rsidRPr="00122518" w:rsidRDefault="00122518" w:rsidP="00122518">
      <w:pPr>
        <w:pStyle w:val="ListParagraph"/>
        <w:numPr>
          <w:ilvl w:val="0"/>
          <w:numId w:val="6"/>
        </w:numPr>
        <w:jc w:val="both"/>
        <w:rPr>
          <w:rFonts w:ascii="Arial" w:hAnsi="Arial" w:cs="Arial"/>
          <w:b/>
          <w:sz w:val="24"/>
          <w:szCs w:val="24"/>
          <w:lang w:val="fr-FR"/>
        </w:rPr>
      </w:pPr>
      <w:r w:rsidRPr="00122518">
        <w:rPr>
          <w:rFonts w:ascii="Arial" w:hAnsi="Arial" w:cs="Arial"/>
          <w:b/>
          <w:sz w:val="24"/>
          <w:szCs w:val="24"/>
          <w:lang w:val="fr-FR"/>
        </w:rPr>
        <w:t>Entraves liées aux prêts commerciaux</w:t>
      </w:r>
    </w:p>
    <w:p w:rsidR="006C7404" w:rsidRPr="006C7404" w:rsidRDefault="006C7404" w:rsidP="006C7404">
      <w:pPr>
        <w:pStyle w:val="ListParagraph"/>
        <w:rPr>
          <w:rFonts w:ascii="Arial" w:hAnsi="Arial" w:cs="Arial"/>
          <w:sz w:val="24"/>
          <w:szCs w:val="24"/>
          <w:lang w:val="fr-FR"/>
        </w:rPr>
      </w:pPr>
    </w:p>
    <w:p w:rsidR="006C7404" w:rsidRDefault="006C7404" w:rsidP="008C0A23">
      <w:pPr>
        <w:pStyle w:val="ListParagraph"/>
        <w:numPr>
          <w:ilvl w:val="0"/>
          <w:numId w:val="2"/>
        </w:numPr>
        <w:jc w:val="both"/>
        <w:rPr>
          <w:rFonts w:ascii="Arial" w:hAnsi="Arial" w:cs="Arial"/>
          <w:sz w:val="24"/>
          <w:szCs w:val="24"/>
          <w:lang w:val="fr-FR"/>
        </w:rPr>
      </w:pPr>
      <w:r>
        <w:rPr>
          <w:rFonts w:ascii="Arial" w:hAnsi="Arial" w:cs="Arial"/>
          <w:sz w:val="24"/>
          <w:szCs w:val="24"/>
          <w:lang w:val="fr-FR"/>
        </w:rPr>
        <w:t xml:space="preserve">Les causes principales de rejet dans le traitement des dossiers de demande de crédit </w:t>
      </w:r>
      <w:r w:rsidR="00122518">
        <w:rPr>
          <w:rFonts w:ascii="Arial" w:hAnsi="Arial" w:cs="Arial"/>
          <w:sz w:val="24"/>
          <w:szCs w:val="24"/>
          <w:lang w:val="fr-FR"/>
        </w:rPr>
        <w:t>d</w:t>
      </w:r>
      <w:r>
        <w:rPr>
          <w:rFonts w:ascii="Arial" w:hAnsi="Arial" w:cs="Arial"/>
          <w:sz w:val="24"/>
          <w:szCs w:val="24"/>
          <w:lang w:val="fr-FR"/>
        </w:rPr>
        <w:t>ans les différentes banques de la place ont été analysées et peuvent servir à identifier certaines entraves aux crédits.</w:t>
      </w:r>
    </w:p>
    <w:p w:rsidR="006C7404" w:rsidRPr="006C7404" w:rsidRDefault="006C7404" w:rsidP="006C7404">
      <w:pPr>
        <w:pStyle w:val="ListParagraph"/>
        <w:rPr>
          <w:rFonts w:ascii="Arial" w:hAnsi="Arial" w:cs="Arial"/>
          <w:sz w:val="24"/>
          <w:szCs w:val="24"/>
          <w:lang w:val="fr-FR"/>
        </w:rPr>
      </w:pPr>
    </w:p>
    <w:p w:rsidR="006C7404" w:rsidRDefault="006C7404" w:rsidP="006C7404">
      <w:pPr>
        <w:jc w:val="both"/>
        <w:rPr>
          <w:rFonts w:ascii="Arial" w:hAnsi="Arial" w:cs="Arial"/>
          <w:sz w:val="24"/>
          <w:szCs w:val="24"/>
          <w:lang w:val="fr-FR"/>
        </w:rPr>
      </w:pPr>
      <w:r>
        <w:rPr>
          <w:rFonts w:ascii="Arial" w:hAnsi="Arial" w:cs="Arial"/>
          <w:sz w:val="24"/>
          <w:szCs w:val="24"/>
          <w:lang w:val="fr-FR"/>
        </w:rPr>
        <w:t>Pour les prêts commerciaux, les causes suivantes ont été relevées pour   refuser certaines  sollicitations de crédit faites  par les entreprises.</w:t>
      </w:r>
    </w:p>
    <w:p w:rsidR="006C7404" w:rsidRPr="006C7404" w:rsidRDefault="006C7404" w:rsidP="006C7404">
      <w:pPr>
        <w:pStyle w:val="ListParagraph"/>
        <w:numPr>
          <w:ilvl w:val="0"/>
          <w:numId w:val="3"/>
        </w:numPr>
        <w:jc w:val="both"/>
        <w:rPr>
          <w:rFonts w:ascii="Arial" w:hAnsi="Arial" w:cs="Arial"/>
          <w:sz w:val="24"/>
          <w:szCs w:val="24"/>
          <w:lang w:val="fr-FR"/>
        </w:rPr>
      </w:pPr>
      <w:r w:rsidRPr="006C7404">
        <w:rPr>
          <w:rFonts w:ascii="Arial" w:hAnsi="Arial" w:cs="Arial"/>
          <w:sz w:val="24"/>
          <w:szCs w:val="24"/>
          <w:lang w:val="fr-FR"/>
        </w:rPr>
        <w:t>Comptabilité non conforme aux normes généralement  acceptées et absence d’états financiers vérifiés</w:t>
      </w:r>
    </w:p>
    <w:p w:rsidR="006C7404" w:rsidRDefault="006C7404" w:rsidP="006C7404">
      <w:pPr>
        <w:pStyle w:val="ListParagraph"/>
        <w:numPr>
          <w:ilvl w:val="0"/>
          <w:numId w:val="3"/>
        </w:numPr>
        <w:jc w:val="both"/>
        <w:rPr>
          <w:rFonts w:ascii="Arial" w:hAnsi="Arial" w:cs="Arial"/>
          <w:sz w:val="24"/>
          <w:szCs w:val="24"/>
          <w:lang w:val="fr-FR"/>
        </w:rPr>
      </w:pPr>
      <w:r>
        <w:rPr>
          <w:rFonts w:ascii="Arial" w:hAnsi="Arial" w:cs="Arial"/>
          <w:sz w:val="24"/>
          <w:szCs w:val="24"/>
          <w:lang w:val="fr-FR"/>
        </w:rPr>
        <w:t>Structure financière et administrative défaill</w:t>
      </w:r>
      <w:r w:rsidR="00122518">
        <w:rPr>
          <w:rFonts w:ascii="Arial" w:hAnsi="Arial" w:cs="Arial"/>
          <w:sz w:val="24"/>
          <w:szCs w:val="24"/>
          <w:lang w:val="fr-FR"/>
        </w:rPr>
        <w:t>ante</w:t>
      </w:r>
    </w:p>
    <w:p w:rsidR="00122518" w:rsidRDefault="006C7404" w:rsidP="006C7404">
      <w:pPr>
        <w:pStyle w:val="ListParagraph"/>
        <w:numPr>
          <w:ilvl w:val="0"/>
          <w:numId w:val="3"/>
        </w:numPr>
        <w:jc w:val="both"/>
        <w:rPr>
          <w:rFonts w:ascii="Arial" w:hAnsi="Arial" w:cs="Arial"/>
          <w:sz w:val="24"/>
          <w:szCs w:val="24"/>
          <w:lang w:val="fr-FR"/>
        </w:rPr>
      </w:pPr>
      <w:r>
        <w:rPr>
          <w:rFonts w:ascii="Arial" w:hAnsi="Arial" w:cs="Arial"/>
          <w:sz w:val="24"/>
          <w:szCs w:val="24"/>
          <w:lang w:val="fr-FR"/>
        </w:rPr>
        <w:t>Garanties insuffisantes par rapport aux demandes de crédit exprimées</w:t>
      </w:r>
      <w:r w:rsidRPr="006C7404">
        <w:rPr>
          <w:rFonts w:ascii="Arial" w:hAnsi="Arial" w:cs="Arial"/>
          <w:sz w:val="24"/>
          <w:szCs w:val="24"/>
          <w:lang w:val="fr-FR"/>
        </w:rPr>
        <w:t xml:space="preserve">    </w:t>
      </w:r>
    </w:p>
    <w:p w:rsidR="00122518" w:rsidRDefault="00122518" w:rsidP="00122518">
      <w:pPr>
        <w:pStyle w:val="ListParagraph"/>
        <w:jc w:val="both"/>
        <w:rPr>
          <w:rFonts w:ascii="Arial" w:hAnsi="Arial" w:cs="Arial"/>
          <w:sz w:val="24"/>
          <w:szCs w:val="24"/>
          <w:lang w:val="fr-FR"/>
        </w:rPr>
      </w:pPr>
    </w:p>
    <w:p w:rsidR="006C7404" w:rsidRPr="00122518" w:rsidRDefault="006C7404" w:rsidP="00122518">
      <w:pPr>
        <w:pStyle w:val="ListParagraph"/>
        <w:numPr>
          <w:ilvl w:val="0"/>
          <w:numId w:val="6"/>
        </w:numPr>
        <w:jc w:val="both"/>
        <w:rPr>
          <w:rFonts w:ascii="Arial" w:hAnsi="Arial" w:cs="Arial"/>
          <w:b/>
          <w:sz w:val="24"/>
          <w:szCs w:val="24"/>
          <w:lang w:val="fr-FR"/>
        </w:rPr>
      </w:pPr>
      <w:r w:rsidRPr="00122518">
        <w:rPr>
          <w:rFonts w:ascii="Arial" w:hAnsi="Arial" w:cs="Arial"/>
          <w:b/>
          <w:sz w:val="24"/>
          <w:szCs w:val="24"/>
          <w:lang w:val="fr-FR"/>
        </w:rPr>
        <w:t xml:space="preserve">     </w:t>
      </w:r>
      <w:r w:rsidR="00122518" w:rsidRPr="00122518">
        <w:rPr>
          <w:rFonts w:ascii="Arial" w:hAnsi="Arial" w:cs="Arial"/>
          <w:b/>
          <w:sz w:val="24"/>
          <w:szCs w:val="24"/>
          <w:lang w:val="fr-FR"/>
        </w:rPr>
        <w:t>Entraves liées aux prêts à la consommation</w:t>
      </w:r>
    </w:p>
    <w:p w:rsidR="006C7404" w:rsidRDefault="006C7404" w:rsidP="006C7404">
      <w:pPr>
        <w:jc w:val="both"/>
        <w:rPr>
          <w:rFonts w:ascii="Arial" w:hAnsi="Arial" w:cs="Arial"/>
          <w:sz w:val="24"/>
          <w:szCs w:val="24"/>
          <w:lang w:val="fr-FR"/>
        </w:rPr>
      </w:pPr>
      <w:r>
        <w:rPr>
          <w:rFonts w:ascii="Arial" w:hAnsi="Arial" w:cs="Arial"/>
          <w:sz w:val="24"/>
          <w:szCs w:val="24"/>
          <w:lang w:val="fr-FR"/>
        </w:rPr>
        <w:t>Pour les prêts aux particuliers ou prêts à la consommation :</w:t>
      </w:r>
    </w:p>
    <w:p w:rsidR="006C7404" w:rsidRPr="00480A9F" w:rsidRDefault="006C7404" w:rsidP="00480A9F">
      <w:pPr>
        <w:pStyle w:val="ListParagraph"/>
        <w:numPr>
          <w:ilvl w:val="0"/>
          <w:numId w:val="4"/>
        </w:numPr>
        <w:jc w:val="both"/>
        <w:rPr>
          <w:rFonts w:ascii="Arial" w:hAnsi="Arial" w:cs="Arial"/>
          <w:sz w:val="24"/>
          <w:szCs w:val="24"/>
          <w:lang w:val="fr-FR"/>
        </w:rPr>
      </w:pPr>
      <w:r w:rsidRPr="00480A9F">
        <w:rPr>
          <w:rFonts w:ascii="Arial" w:hAnsi="Arial" w:cs="Arial"/>
          <w:sz w:val="24"/>
          <w:szCs w:val="24"/>
          <w:lang w:val="fr-FR"/>
        </w:rPr>
        <w:t xml:space="preserve">Niveau de revenus insuffisant </w:t>
      </w:r>
      <w:r w:rsidR="00122518">
        <w:rPr>
          <w:rFonts w:ascii="Arial" w:hAnsi="Arial" w:cs="Arial"/>
          <w:sz w:val="24"/>
          <w:szCs w:val="24"/>
          <w:lang w:val="fr-FR"/>
        </w:rPr>
        <w:t xml:space="preserve">par rapport aux </w:t>
      </w:r>
      <w:r w:rsidRPr="00480A9F">
        <w:rPr>
          <w:rFonts w:ascii="Arial" w:hAnsi="Arial" w:cs="Arial"/>
          <w:sz w:val="24"/>
          <w:szCs w:val="24"/>
          <w:lang w:val="fr-FR"/>
        </w:rPr>
        <w:t xml:space="preserve"> transactions à  effectuer</w:t>
      </w:r>
    </w:p>
    <w:p w:rsidR="00144EDB" w:rsidRPr="00122518" w:rsidRDefault="006C7404" w:rsidP="006C7404">
      <w:pPr>
        <w:pStyle w:val="ListParagraph"/>
        <w:numPr>
          <w:ilvl w:val="0"/>
          <w:numId w:val="4"/>
        </w:numPr>
        <w:jc w:val="both"/>
        <w:rPr>
          <w:rFonts w:ascii="Arial" w:hAnsi="Arial" w:cs="Arial"/>
          <w:sz w:val="24"/>
          <w:szCs w:val="24"/>
          <w:lang w:val="fr-FR"/>
        </w:rPr>
      </w:pPr>
      <w:r w:rsidRPr="00122518">
        <w:rPr>
          <w:rFonts w:ascii="Arial" w:hAnsi="Arial" w:cs="Arial"/>
          <w:sz w:val="24"/>
          <w:szCs w:val="24"/>
          <w:lang w:val="fr-FR"/>
        </w:rPr>
        <w:t>La majorité des salaires  ne répondent pas aux coûts actuels d’acquisition d’une voiture neuve</w:t>
      </w:r>
      <w:r w:rsidR="0084372E" w:rsidRPr="00122518">
        <w:rPr>
          <w:rFonts w:ascii="Arial" w:hAnsi="Arial" w:cs="Arial"/>
          <w:sz w:val="24"/>
          <w:szCs w:val="24"/>
          <w:lang w:val="fr-FR"/>
        </w:rPr>
        <w:t xml:space="preserve"> et des coûts associés comme l’assurance</w:t>
      </w:r>
      <w:r w:rsidR="00480A9F" w:rsidRPr="00122518">
        <w:rPr>
          <w:rFonts w:ascii="Arial" w:hAnsi="Arial" w:cs="Arial"/>
          <w:sz w:val="24"/>
          <w:szCs w:val="24"/>
          <w:lang w:val="fr-FR"/>
        </w:rPr>
        <w:t>.</w:t>
      </w:r>
    </w:p>
    <w:p w:rsidR="00480A9F" w:rsidRDefault="00480A9F" w:rsidP="006C7404">
      <w:pPr>
        <w:jc w:val="both"/>
        <w:rPr>
          <w:rFonts w:ascii="Arial" w:hAnsi="Arial" w:cs="Arial"/>
          <w:sz w:val="24"/>
          <w:szCs w:val="24"/>
          <w:lang w:val="fr-FR"/>
        </w:rPr>
      </w:pPr>
      <w:r>
        <w:rPr>
          <w:rFonts w:ascii="Arial" w:hAnsi="Arial" w:cs="Arial"/>
          <w:sz w:val="24"/>
          <w:szCs w:val="24"/>
          <w:lang w:val="fr-FR"/>
        </w:rPr>
        <w:t>Les demandes de crédit  pour l’acquisition de petits équipements  et matériels sont souvent rejetées à cause</w:t>
      </w:r>
      <w:r w:rsidR="006C7404" w:rsidRPr="006C7404">
        <w:rPr>
          <w:rFonts w:ascii="Arial" w:hAnsi="Arial" w:cs="Arial"/>
          <w:sz w:val="24"/>
          <w:szCs w:val="24"/>
          <w:lang w:val="fr-FR"/>
        </w:rPr>
        <w:t xml:space="preserve"> </w:t>
      </w:r>
      <w:r>
        <w:rPr>
          <w:rFonts w:ascii="Arial" w:hAnsi="Arial" w:cs="Arial"/>
          <w:sz w:val="24"/>
          <w:szCs w:val="24"/>
          <w:lang w:val="fr-FR"/>
        </w:rPr>
        <w:t>de :</w:t>
      </w:r>
    </w:p>
    <w:p w:rsidR="00480A9F" w:rsidRDefault="00480A9F" w:rsidP="00144EDB">
      <w:pPr>
        <w:pStyle w:val="ListParagraph"/>
        <w:numPr>
          <w:ilvl w:val="0"/>
          <w:numId w:val="5"/>
        </w:numPr>
        <w:jc w:val="both"/>
        <w:rPr>
          <w:rFonts w:ascii="Arial" w:hAnsi="Arial" w:cs="Arial"/>
          <w:sz w:val="24"/>
          <w:szCs w:val="24"/>
          <w:lang w:val="fr-FR"/>
        </w:rPr>
      </w:pPr>
      <w:r w:rsidRPr="00144EDB">
        <w:rPr>
          <w:rFonts w:ascii="Arial" w:hAnsi="Arial" w:cs="Arial"/>
          <w:sz w:val="24"/>
          <w:szCs w:val="24"/>
          <w:lang w:val="fr-FR"/>
        </w:rPr>
        <w:t>La mobilité dans les postes de travail et l’absence d’un minimum d’expérience de travail (3 ans consécutifs dans une même institution)</w:t>
      </w:r>
    </w:p>
    <w:p w:rsidR="00144EDB" w:rsidRDefault="00144EDB" w:rsidP="00144EDB">
      <w:pPr>
        <w:pStyle w:val="ListParagraph"/>
        <w:jc w:val="both"/>
        <w:rPr>
          <w:rFonts w:ascii="Arial" w:hAnsi="Arial" w:cs="Arial"/>
          <w:sz w:val="24"/>
          <w:szCs w:val="24"/>
          <w:lang w:val="fr-FR"/>
        </w:rPr>
      </w:pPr>
    </w:p>
    <w:p w:rsidR="00122518" w:rsidRDefault="00122518" w:rsidP="00144EDB">
      <w:pPr>
        <w:pStyle w:val="ListParagraph"/>
        <w:jc w:val="both"/>
        <w:rPr>
          <w:rFonts w:ascii="Arial" w:hAnsi="Arial" w:cs="Arial"/>
          <w:sz w:val="24"/>
          <w:szCs w:val="24"/>
          <w:lang w:val="fr-FR"/>
        </w:rPr>
      </w:pPr>
    </w:p>
    <w:p w:rsidR="00122518" w:rsidRDefault="00122518" w:rsidP="00122518">
      <w:pPr>
        <w:pStyle w:val="ListParagraph"/>
        <w:jc w:val="center"/>
        <w:rPr>
          <w:rFonts w:ascii="Arial" w:hAnsi="Arial" w:cs="Arial"/>
          <w:sz w:val="24"/>
          <w:szCs w:val="24"/>
          <w:lang w:val="fr-FR"/>
        </w:rPr>
      </w:pPr>
      <w:r>
        <w:rPr>
          <w:rFonts w:ascii="Arial" w:hAnsi="Arial" w:cs="Arial"/>
          <w:sz w:val="24"/>
          <w:szCs w:val="24"/>
          <w:lang w:val="fr-FR"/>
        </w:rPr>
        <w:lastRenderedPageBreak/>
        <w:t>-4-</w:t>
      </w:r>
    </w:p>
    <w:p w:rsidR="00122518" w:rsidRDefault="00122518" w:rsidP="00122518">
      <w:pPr>
        <w:pStyle w:val="ListParagraph"/>
        <w:jc w:val="center"/>
        <w:rPr>
          <w:rFonts w:ascii="Arial" w:hAnsi="Arial" w:cs="Arial"/>
          <w:sz w:val="24"/>
          <w:szCs w:val="24"/>
          <w:lang w:val="fr-FR"/>
        </w:rPr>
      </w:pPr>
    </w:p>
    <w:p w:rsidR="00122518" w:rsidRPr="00144EDB" w:rsidRDefault="00122518" w:rsidP="00144EDB">
      <w:pPr>
        <w:pStyle w:val="ListParagraph"/>
        <w:jc w:val="both"/>
        <w:rPr>
          <w:rFonts w:ascii="Arial" w:hAnsi="Arial" w:cs="Arial"/>
          <w:sz w:val="24"/>
          <w:szCs w:val="24"/>
          <w:lang w:val="fr-FR"/>
        </w:rPr>
      </w:pPr>
    </w:p>
    <w:p w:rsidR="00480A9F" w:rsidRDefault="00480A9F" w:rsidP="00144EDB">
      <w:pPr>
        <w:pStyle w:val="ListParagraph"/>
        <w:numPr>
          <w:ilvl w:val="0"/>
          <w:numId w:val="5"/>
        </w:numPr>
        <w:jc w:val="both"/>
        <w:rPr>
          <w:rFonts w:ascii="Arial" w:hAnsi="Arial" w:cs="Arial"/>
          <w:sz w:val="24"/>
          <w:szCs w:val="24"/>
          <w:lang w:val="fr-FR"/>
        </w:rPr>
      </w:pPr>
      <w:r w:rsidRPr="00144EDB">
        <w:rPr>
          <w:rFonts w:ascii="Arial" w:hAnsi="Arial" w:cs="Arial"/>
          <w:sz w:val="24"/>
          <w:szCs w:val="24"/>
          <w:lang w:val="fr-FR"/>
        </w:rPr>
        <w:t xml:space="preserve">L’instabilité de la fonction publique et absence de garantie pour couvrir les prêts demandés sont aussi une cause de rejet </w:t>
      </w:r>
      <w:r w:rsidR="000222B7">
        <w:rPr>
          <w:rFonts w:ascii="Arial" w:hAnsi="Arial" w:cs="Arial"/>
          <w:sz w:val="24"/>
          <w:szCs w:val="24"/>
          <w:lang w:val="fr-FR"/>
        </w:rPr>
        <w:t xml:space="preserve">et </w:t>
      </w:r>
      <w:proofErr w:type="gramStart"/>
      <w:r w:rsidRPr="00144EDB">
        <w:rPr>
          <w:rFonts w:ascii="Arial" w:hAnsi="Arial" w:cs="Arial"/>
          <w:sz w:val="24"/>
          <w:szCs w:val="24"/>
          <w:lang w:val="fr-FR"/>
        </w:rPr>
        <w:t>de la</w:t>
      </w:r>
      <w:proofErr w:type="gramEnd"/>
      <w:r w:rsidRPr="00144EDB">
        <w:rPr>
          <w:rFonts w:ascii="Arial" w:hAnsi="Arial" w:cs="Arial"/>
          <w:sz w:val="24"/>
          <w:szCs w:val="24"/>
          <w:lang w:val="fr-FR"/>
        </w:rPr>
        <w:t xml:space="preserve"> non introduction du dossier en comité</w:t>
      </w:r>
    </w:p>
    <w:p w:rsidR="007228D4" w:rsidRPr="007228D4" w:rsidRDefault="007228D4" w:rsidP="007228D4">
      <w:pPr>
        <w:pStyle w:val="ListParagraph"/>
        <w:rPr>
          <w:rFonts w:ascii="Arial" w:hAnsi="Arial" w:cs="Arial"/>
          <w:sz w:val="24"/>
          <w:szCs w:val="24"/>
          <w:lang w:val="fr-FR"/>
        </w:rPr>
      </w:pPr>
    </w:p>
    <w:p w:rsidR="007228D4" w:rsidRDefault="007228D4" w:rsidP="00144EDB">
      <w:pPr>
        <w:pStyle w:val="ListParagraph"/>
        <w:numPr>
          <w:ilvl w:val="0"/>
          <w:numId w:val="5"/>
        </w:numPr>
        <w:jc w:val="both"/>
        <w:rPr>
          <w:rFonts w:ascii="Arial" w:hAnsi="Arial" w:cs="Arial"/>
          <w:sz w:val="24"/>
          <w:szCs w:val="24"/>
          <w:lang w:val="fr-FR"/>
        </w:rPr>
      </w:pPr>
      <w:r>
        <w:rPr>
          <w:rFonts w:ascii="Arial" w:hAnsi="Arial" w:cs="Arial"/>
          <w:sz w:val="24"/>
          <w:szCs w:val="24"/>
          <w:lang w:val="fr-FR"/>
        </w:rPr>
        <w:t>La centralisation des risques permettant de co</w:t>
      </w:r>
      <w:r w:rsidR="00122518">
        <w:rPr>
          <w:rFonts w:ascii="Arial" w:hAnsi="Arial" w:cs="Arial"/>
          <w:sz w:val="24"/>
          <w:szCs w:val="24"/>
          <w:lang w:val="fr-FR"/>
        </w:rPr>
        <w:t>nnaître les débiteurs défaillants</w:t>
      </w:r>
      <w:r>
        <w:rPr>
          <w:rFonts w:ascii="Arial" w:hAnsi="Arial" w:cs="Arial"/>
          <w:sz w:val="24"/>
          <w:szCs w:val="24"/>
          <w:lang w:val="fr-FR"/>
        </w:rPr>
        <w:t xml:space="preserve"> et la création d’un central moderne de bilans devraient compléter les dispositifs d’identification des clients et des entreprises</w:t>
      </w:r>
    </w:p>
    <w:p w:rsidR="007228D4" w:rsidRPr="007228D4" w:rsidRDefault="007228D4" w:rsidP="007228D4">
      <w:pPr>
        <w:pStyle w:val="ListParagraph"/>
        <w:rPr>
          <w:rFonts w:ascii="Arial" w:hAnsi="Arial" w:cs="Arial"/>
          <w:sz w:val="24"/>
          <w:szCs w:val="24"/>
          <w:lang w:val="fr-FR"/>
        </w:rPr>
      </w:pPr>
    </w:p>
    <w:p w:rsidR="007228D4" w:rsidRDefault="007228D4" w:rsidP="00144EDB">
      <w:pPr>
        <w:pStyle w:val="ListParagraph"/>
        <w:numPr>
          <w:ilvl w:val="0"/>
          <w:numId w:val="5"/>
        </w:numPr>
        <w:jc w:val="both"/>
        <w:rPr>
          <w:rFonts w:ascii="Arial" w:hAnsi="Arial" w:cs="Arial"/>
          <w:sz w:val="24"/>
          <w:szCs w:val="24"/>
          <w:lang w:val="fr-FR"/>
        </w:rPr>
      </w:pPr>
      <w:r>
        <w:rPr>
          <w:rFonts w:ascii="Arial" w:hAnsi="Arial" w:cs="Arial"/>
          <w:sz w:val="24"/>
          <w:szCs w:val="24"/>
          <w:lang w:val="fr-FR"/>
        </w:rPr>
        <w:t>Les cartes de crédit sont limitées à une catégorie de clients et ne sont pas accessibles à la masse des déposants (plus de 2 millions)</w:t>
      </w:r>
      <w:r w:rsidR="005C2A45">
        <w:rPr>
          <w:rFonts w:ascii="Arial" w:hAnsi="Arial" w:cs="Arial"/>
          <w:sz w:val="24"/>
          <w:szCs w:val="24"/>
          <w:lang w:val="fr-FR"/>
        </w:rPr>
        <w:t xml:space="preserve"> qui ont pourtant fait confiance en plaçant leurs avoirs   dans le système bancaire.  Les coûts élevés des équipements et de gestion ont just</w:t>
      </w:r>
      <w:r w:rsidR="0052093C">
        <w:rPr>
          <w:rFonts w:ascii="Arial" w:hAnsi="Arial" w:cs="Arial"/>
          <w:sz w:val="24"/>
          <w:szCs w:val="24"/>
          <w:lang w:val="fr-FR"/>
        </w:rPr>
        <w:t>i</w:t>
      </w:r>
      <w:r w:rsidR="005C2A45">
        <w:rPr>
          <w:rFonts w:ascii="Arial" w:hAnsi="Arial" w:cs="Arial"/>
          <w:sz w:val="24"/>
          <w:szCs w:val="24"/>
          <w:lang w:val="fr-FR"/>
        </w:rPr>
        <w:t>fi</w:t>
      </w:r>
      <w:r w:rsidR="0052093C">
        <w:rPr>
          <w:rFonts w:ascii="Arial" w:hAnsi="Arial" w:cs="Arial"/>
          <w:sz w:val="24"/>
          <w:szCs w:val="24"/>
          <w:lang w:val="fr-FR"/>
        </w:rPr>
        <w:t>é des taux d’intérêts de l’ordre de 40% l’an rendant le produit bancaire cher et peu accessible aux déposants à revenus modestes</w:t>
      </w:r>
    </w:p>
    <w:p w:rsidR="00144389" w:rsidRPr="00144389" w:rsidRDefault="00144389" w:rsidP="00144389">
      <w:pPr>
        <w:pStyle w:val="ListParagraph"/>
        <w:rPr>
          <w:rFonts w:ascii="Arial" w:hAnsi="Arial" w:cs="Arial"/>
          <w:sz w:val="24"/>
          <w:szCs w:val="24"/>
          <w:lang w:val="fr-FR"/>
        </w:rPr>
      </w:pPr>
    </w:p>
    <w:p w:rsidR="00144389" w:rsidRPr="00122518" w:rsidRDefault="00122518" w:rsidP="00122518">
      <w:pPr>
        <w:pStyle w:val="ListParagraph"/>
        <w:ind w:left="1440" w:hanging="720"/>
        <w:jc w:val="both"/>
        <w:rPr>
          <w:rFonts w:ascii="Arial" w:hAnsi="Arial" w:cs="Arial"/>
          <w:b/>
          <w:sz w:val="24"/>
          <w:szCs w:val="24"/>
          <w:lang w:val="fr-FR"/>
        </w:rPr>
      </w:pPr>
      <w:r w:rsidRPr="00122518">
        <w:rPr>
          <w:rFonts w:ascii="Arial" w:hAnsi="Arial" w:cs="Arial"/>
          <w:b/>
          <w:sz w:val="24"/>
          <w:szCs w:val="24"/>
          <w:lang w:val="fr-FR"/>
        </w:rPr>
        <w:t>IV</w:t>
      </w:r>
      <w:r>
        <w:rPr>
          <w:rFonts w:ascii="Arial" w:hAnsi="Arial" w:cs="Arial"/>
          <w:b/>
          <w:sz w:val="24"/>
          <w:szCs w:val="24"/>
          <w:lang w:val="fr-FR"/>
        </w:rPr>
        <w:t>)</w:t>
      </w:r>
      <w:r w:rsidRPr="00122518">
        <w:rPr>
          <w:rFonts w:ascii="Arial" w:hAnsi="Arial" w:cs="Arial"/>
          <w:b/>
          <w:sz w:val="24"/>
          <w:szCs w:val="24"/>
          <w:lang w:val="fr-FR"/>
        </w:rPr>
        <w:tab/>
      </w:r>
      <w:r w:rsidR="00144389" w:rsidRPr="00122518">
        <w:rPr>
          <w:rFonts w:ascii="Arial" w:hAnsi="Arial" w:cs="Arial"/>
          <w:b/>
          <w:sz w:val="24"/>
          <w:szCs w:val="24"/>
          <w:lang w:val="fr-FR"/>
        </w:rPr>
        <w:t>Les contraintes liées à la reconstruction du centre-ville de Port-au-Prince</w:t>
      </w:r>
    </w:p>
    <w:p w:rsidR="00144389" w:rsidRDefault="00122518" w:rsidP="00122518">
      <w:pPr>
        <w:pStyle w:val="ListParagraph"/>
        <w:tabs>
          <w:tab w:val="left" w:pos="6540"/>
        </w:tabs>
        <w:jc w:val="both"/>
        <w:rPr>
          <w:rFonts w:ascii="Arial" w:hAnsi="Arial" w:cs="Arial"/>
          <w:sz w:val="24"/>
          <w:szCs w:val="24"/>
          <w:lang w:val="fr-FR"/>
        </w:rPr>
      </w:pPr>
      <w:r>
        <w:rPr>
          <w:rFonts w:ascii="Arial" w:hAnsi="Arial" w:cs="Arial"/>
          <w:sz w:val="24"/>
          <w:szCs w:val="24"/>
          <w:lang w:val="fr-FR"/>
        </w:rPr>
        <w:tab/>
      </w:r>
    </w:p>
    <w:p w:rsidR="00144389" w:rsidRDefault="00144389" w:rsidP="00144389">
      <w:pPr>
        <w:pStyle w:val="ListParagraph"/>
        <w:jc w:val="both"/>
        <w:rPr>
          <w:rFonts w:ascii="Arial" w:hAnsi="Arial" w:cs="Arial"/>
          <w:sz w:val="24"/>
          <w:szCs w:val="24"/>
          <w:lang w:val="fr-FR"/>
        </w:rPr>
      </w:pPr>
      <w:r>
        <w:rPr>
          <w:rFonts w:ascii="Arial" w:hAnsi="Arial" w:cs="Arial"/>
          <w:sz w:val="24"/>
          <w:szCs w:val="24"/>
          <w:lang w:val="fr-FR"/>
        </w:rPr>
        <w:t>Ces contraintes ont été identifiées par les responsables de crédit travaillant dans les banques, il s’agit :</w:t>
      </w:r>
    </w:p>
    <w:p w:rsidR="00144389" w:rsidRDefault="00144389" w:rsidP="00144389">
      <w:pPr>
        <w:pStyle w:val="ListParagraph"/>
        <w:jc w:val="both"/>
        <w:rPr>
          <w:rFonts w:ascii="Arial" w:hAnsi="Arial" w:cs="Arial"/>
          <w:sz w:val="24"/>
          <w:szCs w:val="24"/>
          <w:lang w:val="fr-FR"/>
        </w:rPr>
      </w:pPr>
    </w:p>
    <w:p w:rsidR="00144389" w:rsidRDefault="00144389" w:rsidP="00144389">
      <w:pPr>
        <w:pStyle w:val="ListParagraph"/>
        <w:numPr>
          <w:ilvl w:val="0"/>
          <w:numId w:val="5"/>
        </w:numPr>
        <w:jc w:val="both"/>
        <w:rPr>
          <w:rFonts w:ascii="Arial" w:hAnsi="Arial" w:cs="Arial"/>
          <w:sz w:val="24"/>
          <w:szCs w:val="24"/>
          <w:lang w:val="fr-FR"/>
        </w:rPr>
      </w:pPr>
      <w:r>
        <w:rPr>
          <w:rFonts w:ascii="Arial" w:hAnsi="Arial" w:cs="Arial"/>
          <w:sz w:val="24"/>
          <w:szCs w:val="24"/>
          <w:lang w:val="fr-FR"/>
        </w:rPr>
        <w:t>d’un plan d’urbanisme de la zone commerciale qui reste à définir ou à confirmer après la modification de l’arrêté relatif à la nouvelle délimitation de la zone déclarée d’utilité publique</w:t>
      </w:r>
    </w:p>
    <w:p w:rsidR="00144389" w:rsidRDefault="00144389" w:rsidP="00144389">
      <w:pPr>
        <w:pStyle w:val="ListParagraph"/>
        <w:jc w:val="both"/>
        <w:rPr>
          <w:rFonts w:ascii="Arial" w:hAnsi="Arial" w:cs="Arial"/>
          <w:sz w:val="24"/>
          <w:szCs w:val="24"/>
          <w:lang w:val="fr-FR"/>
        </w:rPr>
      </w:pPr>
    </w:p>
    <w:p w:rsidR="00144389" w:rsidRDefault="00144389" w:rsidP="00144389">
      <w:pPr>
        <w:pStyle w:val="ListParagraph"/>
        <w:numPr>
          <w:ilvl w:val="0"/>
          <w:numId w:val="5"/>
        </w:numPr>
        <w:jc w:val="both"/>
        <w:rPr>
          <w:rFonts w:ascii="Arial" w:hAnsi="Arial" w:cs="Arial"/>
          <w:sz w:val="24"/>
          <w:szCs w:val="24"/>
          <w:lang w:val="fr-FR"/>
        </w:rPr>
      </w:pPr>
      <w:r>
        <w:rPr>
          <w:rFonts w:ascii="Arial" w:hAnsi="Arial" w:cs="Arial"/>
          <w:sz w:val="24"/>
          <w:szCs w:val="24"/>
          <w:lang w:val="fr-FR"/>
        </w:rPr>
        <w:t>de l’existence de risques f</w:t>
      </w:r>
      <w:r w:rsidR="005A5416">
        <w:rPr>
          <w:rFonts w:ascii="Arial" w:hAnsi="Arial" w:cs="Arial"/>
          <w:sz w:val="24"/>
          <w:szCs w:val="24"/>
          <w:lang w:val="fr-FR"/>
        </w:rPr>
        <w:t>o</w:t>
      </w:r>
      <w:r>
        <w:rPr>
          <w:rFonts w:ascii="Arial" w:hAnsi="Arial" w:cs="Arial"/>
          <w:sz w:val="24"/>
          <w:szCs w:val="24"/>
          <w:lang w:val="fr-FR"/>
        </w:rPr>
        <w:t>nciers du fait que la plupart des immeubles commerciaux ont été détruits par le séisme – la nue propriété est sujette aux risques de spoliation et d’expropriation</w:t>
      </w:r>
    </w:p>
    <w:p w:rsidR="00144389" w:rsidRPr="00144389" w:rsidRDefault="00144389" w:rsidP="00144389">
      <w:pPr>
        <w:pStyle w:val="ListParagraph"/>
        <w:rPr>
          <w:rFonts w:ascii="Arial" w:hAnsi="Arial" w:cs="Arial"/>
          <w:sz w:val="24"/>
          <w:szCs w:val="24"/>
          <w:lang w:val="fr-FR"/>
        </w:rPr>
      </w:pPr>
    </w:p>
    <w:p w:rsidR="004829C7" w:rsidRPr="00122518" w:rsidRDefault="00144389" w:rsidP="004829C7">
      <w:pPr>
        <w:pStyle w:val="ListParagraph"/>
        <w:numPr>
          <w:ilvl w:val="0"/>
          <w:numId w:val="5"/>
        </w:numPr>
        <w:jc w:val="center"/>
        <w:rPr>
          <w:rFonts w:ascii="Arial" w:hAnsi="Arial" w:cs="Arial"/>
          <w:sz w:val="24"/>
          <w:szCs w:val="24"/>
          <w:lang w:val="fr-FR"/>
        </w:rPr>
      </w:pPr>
      <w:r w:rsidRPr="00122518">
        <w:rPr>
          <w:rFonts w:ascii="Arial" w:hAnsi="Arial" w:cs="Arial"/>
          <w:sz w:val="24"/>
          <w:szCs w:val="24"/>
          <w:lang w:val="fr-FR"/>
        </w:rPr>
        <w:t xml:space="preserve">de l’insécurité grandissante </w:t>
      </w:r>
      <w:r w:rsidR="000222B7">
        <w:rPr>
          <w:rFonts w:ascii="Arial" w:hAnsi="Arial" w:cs="Arial"/>
          <w:sz w:val="24"/>
          <w:szCs w:val="24"/>
          <w:lang w:val="fr-FR"/>
        </w:rPr>
        <w:t>a</w:t>
      </w:r>
      <w:r w:rsidRPr="00122518">
        <w:rPr>
          <w:rFonts w:ascii="Arial" w:hAnsi="Arial" w:cs="Arial"/>
          <w:sz w:val="24"/>
          <w:szCs w:val="24"/>
          <w:lang w:val="fr-FR"/>
        </w:rPr>
        <w:t>u centre-ville qui affecte la reprise des affaires et retarde les sollicitations de crédit. La conception de plan d’affaires et la réalisation de projets rentables pour le centre-ville se font encore attendre</w:t>
      </w:r>
    </w:p>
    <w:p w:rsidR="004829C7" w:rsidRDefault="004829C7" w:rsidP="004829C7">
      <w:pPr>
        <w:jc w:val="both"/>
        <w:rPr>
          <w:rFonts w:ascii="Arial" w:hAnsi="Arial" w:cs="Arial"/>
          <w:sz w:val="24"/>
          <w:szCs w:val="24"/>
          <w:lang w:val="fr-FR"/>
        </w:rPr>
      </w:pPr>
      <w:r>
        <w:rPr>
          <w:rFonts w:ascii="Arial" w:hAnsi="Arial" w:cs="Arial"/>
          <w:sz w:val="24"/>
          <w:szCs w:val="24"/>
          <w:lang w:val="fr-FR"/>
        </w:rPr>
        <w:t>Le rétablissement de la confiance devrait marcher de paire avec les actions tendant à reconstruire le centre-ville de Port-au-Prince</w:t>
      </w:r>
    </w:p>
    <w:p w:rsidR="004829C7" w:rsidRDefault="004829C7" w:rsidP="004829C7">
      <w:pPr>
        <w:pStyle w:val="ListParagraph"/>
        <w:numPr>
          <w:ilvl w:val="0"/>
          <w:numId w:val="5"/>
        </w:numPr>
        <w:jc w:val="both"/>
        <w:rPr>
          <w:rFonts w:ascii="Arial" w:hAnsi="Arial" w:cs="Arial"/>
          <w:sz w:val="24"/>
          <w:szCs w:val="24"/>
          <w:lang w:val="fr-FR"/>
        </w:rPr>
      </w:pPr>
      <w:r>
        <w:rPr>
          <w:rFonts w:ascii="Arial" w:hAnsi="Arial" w:cs="Arial"/>
          <w:sz w:val="24"/>
          <w:szCs w:val="24"/>
          <w:lang w:val="fr-FR"/>
        </w:rPr>
        <w:t>plan de zonage</w:t>
      </w:r>
    </w:p>
    <w:p w:rsidR="004829C7" w:rsidRDefault="004829C7" w:rsidP="004829C7">
      <w:pPr>
        <w:pStyle w:val="ListParagraph"/>
        <w:numPr>
          <w:ilvl w:val="0"/>
          <w:numId w:val="5"/>
        </w:numPr>
        <w:jc w:val="both"/>
        <w:rPr>
          <w:rFonts w:ascii="Arial" w:hAnsi="Arial" w:cs="Arial"/>
          <w:sz w:val="24"/>
          <w:szCs w:val="24"/>
          <w:lang w:val="fr-FR"/>
        </w:rPr>
      </w:pPr>
      <w:r>
        <w:rPr>
          <w:rFonts w:ascii="Arial" w:hAnsi="Arial" w:cs="Arial"/>
          <w:sz w:val="24"/>
          <w:szCs w:val="24"/>
          <w:lang w:val="fr-FR"/>
        </w:rPr>
        <w:t>plan d’urbanisme</w:t>
      </w:r>
    </w:p>
    <w:p w:rsidR="00122518" w:rsidRDefault="00122518" w:rsidP="00122518">
      <w:pPr>
        <w:jc w:val="center"/>
        <w:rPr>
          <w:rFonts w:ascii="Arial" w:hAnsi="Arial" w:cs="Arial"/>
          <w:sz w:val="24"/>
          <w:szCs w:val="24"/>
          <w:lang w:val="fr-FR"/>
        </w:rPr>
      </w:pPr>
      <w:r>
        <w:rPr>
          <w:rFonts w:ascii="Arial" w:hAnsi="Arial" w:cs="Arial"/>
          <w:sz w:val="24"/>
          <w:szCs w:val="24"/>
          <w:lang w:val="fr-FR"/>
        </w:rPr>
        <w:lastRenderedPageBreak/>
        <w:t>-5-</w:t>
      </w:r>
    </w:p>
    <w:p w:rsidR="004829C7" w:rsidRDefault="004829C7" w:rsidP="004829C7">
      <w:pPr>
        <w:pStyle w:val="ListParagraph"/>
        <w:numPr>
          <w:ilvl w:val="0"/>
          <w:numId w:val="5"/>
        </w:numPr>
        <w:jc w:val="both"/>
        <w:rPr>
          <w:rFonts w:ascii="Arial" w:hAnsi="Arial" w:cs="Arial"/>
          <w:sz w:val="24"/>
          <w:szCs w:val="24"/>
          <w:lang w:val="fr-FR"/>
        </w:rPr>
      </w:pPr>
      <w:r>
        <w:rPr>
          <w:rFonts w:ascii="Arial" w:hAnsi="Arial" w:cs="Arial"/>
          <w:sz w:val="24"/>
          <w:szCs w:val="24"/>
          <w:lang w:val="fr-FR"/>
        </w:rPr>
        <w:t>instruments de garantie et incitations fiscales en faveur des anciens propriétaires de manière à donner une impulsion à la présentation de dossier de crédit</w:t>
      </w:r>
    </w:p>
    <w:p w:rsidR="004829C7" w:rsidRDefault="004829C7" w:rsidP="004829C7">
      <w:pPr>
        <w:pStyle w:val="ListParagraph"/>
        <w:numPr>
          <w:ilvl w:val="0"/>
          <w:numId w:val="5"/>
        </w:numPr>
        <w:jc w:val="both"/>
        <w:rPr>
          <w:rFonts w:ascii="Arial" w:hAnsi="Arial" w:cs="Arial"/>
          <w:sz w:val="24"/>
          <w:szCs w:val="24"/>
          <w:lang w:val="fr-FR"/>
        </w:rPr>
      </w:pPr>
      <w:r>
        <w:rPr>
          <w:rFonts w:ascii="Arial" w:hAnsi="Arial" w:cs="Arial"/>
          <w:sz w:val="24"/>
          <w:szCs w:val="24"/>
          <w:lang w:val="fr-FR"/>
        </w:rPr>
        <w:t>reconstruction des infrastructures publiques</w:t>
      </w:r>
    </w:p>
    <w:p w:rsidR="004829C7" w:rsidRDefault="004829C7" w:rsidP="004829C7">
      <w:pPr>
        <w:pStyle w:val="ListParagraph"/>
        <w:numPr>
          <w:ilvl w:val="0"/>
          <w:numId w:val="5"/>
        </w:numPr>
        <w:jc w:val="both"/>
        <w:rPr>
          <w:rFonts w:ascii="Arial" w:hAnsi="Arial" w:cs="Arial"/>
          <w:sz w:val="24"/>
          <w:szCs w:val="24"/>
          <w:lang w:val="fr-FR"/>
        </w:rPr>
      </w:pPr>
      <w:r>
        <w:rPr>
          <w:rFonts w:ascii="Arial" w:hAnsi="Arial" w:cs="Arial"/>
          <w:sz w:val="24"/>
          <w:szCs w:val="24"/>
          <w:lang w:val="fr-FR"/>
        </w:rPr>
        <w:t>égouts, routes</w:t>
      </w:r>
    </w:p>
    <w:p w:rsidR="004829C7" w:rsidRDefault="004829C7" w:rsidP="004829C7">
      <w:pPr>
        <w:pStyle w:val="ListParagraph"/>
        <w:numPr>
          <w:ilvl w:val="0"/>
          <w:numId w:val="5"/>
        </w:numPr>
        <w:jc w:val="both"/>
        <w:rPr>
          <w:rFonts w:ascii="Arial" w:hAnsi="Arial" w:cs="Arial"/>
          <w:sz w:val="24"/>
          <w:szCs w:val="24"/>
          <w:lang w:val="fr-FR"/>
        </w:rPr>
      </w:pPr>
      <w:r>
        <w:rPr>
          <w:rFonts w:ascii="Arial" w:hAnsi="Arial" w:cs="Arial"/>
          <w:sz w:val="24"/>
          <w:szCs w:val="24"/>
          <w:lang w:val="fr-FR"/>
        </w:rPr>
        <w:t>places publiques, parking municipal, marché</w:t>
      </w:r>
    </w:p>
    <w:p w:rsidR="004829C7" w:rsidRDefault="004829C7" w:rsidP="004829C7">
      <w:pPr>
        <w:pStyle w:val="ListParagraph"/>
        <w:numPr>
          <w:ilvl w:val="0"/>
          <w:numId w:val="5"/>
        </w:numPr>
        <w:jc w:val="both"/>
        <w:rPr>
          <w:rFonts w:ascii="Arial" w:hAnsi="Arial" w:cs="Arial"/>
          <w:sz w:val="24"/>
          <w:szCs w:val="24"/>
          <w:lang w:val="fr-FR"/>
        </w:rPr>
      </w:pPr>
      <w:r>
        <w:rPr>
          <w:rFonts w:ascii="Arial" w:hAnsi="Arial" w:cs="Arial"/>
          <w:sz w:val="24"/>
          <w:szCs w:val="24"/>
          <w:lang w:val="fr-FR"/>
        </w:rPr>
        <w:t>commissariat de police</w:t>
      </w:r>
    </w:p>
    <w:p w:rsidR="00122518" w:rsidRDefault="00122518" w:rsidP="00122518">
      <w:pPr>
        <w:pStyle w:val="ListParagraph"/>
        <w:jc w:val="both"/>
        <w:rPr>
          <w:rFonts w:ascii="Arial" w:hAnsi="Arial" w:cs="Arial"/>
          <w:sz w:val="24"/>
          <w:szCs w:val="24"/>
          <w:lang w:val="fr-FR"/>
        </w:rPr>
      </w:pPr>
    </w:p>
    <w:p w:rsidR="00947997" w:rsidRPr="00122518" w:rsidRDefault="00947997" w:rsidP="00122518">
      <w:pPr>
        <w:pStyle w:val="ListParagraph"/>
        <w:numPr>
          <w:ilvl w:val="0"/>
          <w:numId w:val="7"/>
        </w:numPr>
        <w:jc w:val="both"/>
        <w:rPr>
          <w:rFonts w:ascii="Arial" w:hAnsi="Arial" w:cs="Arial"/>
          <w:b/>
          <w:sz w:val="24"/>
          <w:szCs w:val="24"/>
          <w:lang w:val="fr-FR"/>
        </w:rPr>
      </w:pPr>
      <w:r w:rsidRPr="00122518">
        <w:rPr>
          <w:rFonts w:ascii="Arial" w:hAnsi="Arial" w:cs="Arial"/>
          <w:b/>
          <w:sz w:val="24"/>
          <w:szCs w:val="24"/>
          <w:lang w:val="fr-FR"/>
        </w:rPr>
        <w:t>La formalisation des petites et moyennes entreprises</w:t>
      </w:r>
    </w:p>
    <w:p w:rsidR="00947997" w:rsidRDefault="00947997" w:rsidP="00947997">
      <w:pPr>
        <w:jc w:val="both"/>
        <w:rPr>
          <w:rFonts w:ascii="Arial" w:hAnsi="Arial" w:cs="Arial"/>
          <w:sz w:val="24"/>
          <w:szCs w:val="24"/>
          <w:lang w:val="fr-FR"/>
        </w:rPr>
      </w:pPr>
      <w:r>
        <w:rPr>
          <w:rFonts w:ascii="Arial" w:hAnsi="Arial" w:cs="Arial"/>
          <w:sz w:val="24"/>
          <w:szCs w:val="24"/>
          <w:lang w:val="fr-FR"/>
        </w:rPr>
        <w:t>Cette formalisation améliorerait l’allocation de crédit à ce secteur d’activités.  Elle passe par :</w:t>
      </w:r>
    </w:p>
    <w:p w:rsidR="00947997" w:rsidRDefault="00947997" w:rsidP="00947997">
      <w:pPr>
        <w:jc w:val="both"/>
        <w:rPr>
          <w:rFonts w:ascii="Arial" w:hAnsi="Arial" w:cs="Arial"/>
          <w:sz w:val="24"/>
          <w:szCs w:val="24"/>
          <w:lang w:val="fr-FR"/>
        </w:rPr>
      </w:pPr>
      <w:r>
        <w:rPr>
          <w:rFonts w:ascii="Arial" w:hAnsi="Arial" w:cs="Arial"/>
          <w:sz w:val="24"/>
          <w:szCs w:val="24"/>
          <w:lang w:val="fr-FR"/>
        </w:rPr>
        <w:t xml:space="preserve">1.- </w:t>
      </w:r>
      <w:r>
        <w:rPr>
          <w:rFonts w:ascii="Arial" w:hAnsi="Arial" w:cs="Arial"/>
          <w:sz w:val="24"/>
          <w:szCs w:val="24"/>
          <w:lang w:val="fr-FR"/>
        </w:rPr>
        <w:tab/>
        <w:t>l’enregistrement fiscal : la patente, l’immatriculation</w:t>
      </w:r>
    </w:p>
    <w:p w:rsidR="00947997" w:rsidRDefault="00947997" w:rsidP="00947997">
      <w:pPr>
        <w:ind w:left="720" w:hanging="720"/>
        <w:jc w:val="both"/>
        <w:rPr>
          <w:rFonts w:ascii="Arial" w:hAnsi="Arial" w:cs="Arial"/>
          <w:sz w:val="24"/>
          <w:szCs w:val="24"/>
          <w:lang w:val="fr-FR"/>
        </w:rPr>
      </w:pPr>
      <w:r>
        <w:rPr>
          <w:rFonts w:ascii="Arial" w:hAnsi="Arial" w:cs="Arial"/>
          <w:sz w:val="24"/>
          <w:szCs w:val="24"/>
          <w:lang w:val="fr-FR"/>
        </w:rPr>
        <w:t>2.-</w:t>
      </w:r>
      <w:r>
        <w:rPr>
          <w:rFonts w:ascii="Arial" w:hAnsi="Arial" w:cs="Arial"/>
          <w:sz w:val="24"/>
          <w:szCs w:val="24"/>
          <w:lang w:val="fr-FR"/>
        </w:rPr>
        <w:tab/>
        <w:t>l’existence de plan comptable simplifié et la réalisation d’états financiers comme support aux demandes de crédit</w:t>
      </w:r>
    </w:p>
    <w:p w:rsidR="00E7058C" w:rsidRDefault="00E7058C" w:rsidP="00947997">
      <w:pPr>
        <w:ind w:left="720" w:hanging="720"/>
        <w:jc w:val="both"/>
        <w:rPr>
          <w:rFonts w:ascii="Arial" w:hAnsi="Arial" w:cs="Arial"/>
          <w:sz w:val="24"/>
          <w:szCs w:val="24"/>
          <w:lang w:val="fr-FR"/>
        </w:rPr>
      </w:pPr>
      <w:r>
        <w:rPr>
          <w:rFonts w:ascii="Arial" w:hAnsi="Arial" w:cs="Arial"/>
          <w:sz w:val="24"/>
          <w:szCs w:val="24"/>
          <w:lang w:val="fr-FR"/>
        </w:rPr>
        <w:t>3.-</w:t>
      </w:r>
      <w:r>
        <w:rPr>
          <w:rFonts w:ascii="Arial" w:hAnsi="Arial" w:cs="Arial"/>
          <w:sz w:val="24"/>
          <w:szCs w:val="24"/>
          <w:lang w:val="fr-FR"/>
        </w:rPr>
        <w:tab/>
        <w:t>la création de structure pouvant concevoir des plans d’affaire et un système de notation du crédit pouvant faciliter l’introduction des dossiers aux comités de crédit des banques</w:t>
      </w:r>
    </w:p>
    <w:p w:rsidR="00E7058C" w:rsidRPr="00122518" w:rsidRDefault="00122518" w:rsidP="00947997">
      <w:pPr>
        <w:ind w:left="720" w:hanging="720"/>
        <w:jc w:val="both"/>
        <w:rPr>
          <w:rFonts w:ascii="Arial" w:hAnsi="Arial" w:cs="Arial"/>
          <w:b/>
          <w:sz w:val="24"/>
          <w:szCs w:val="24"/>
          <w:lang w:val="fr-FR"/>
        </w:rPr>
      </w:pPr>
      <w:r w:rsidRPr="00122518">
        <w:rPr>
          <w:rFonts w:ascii="Arial" w:hAnsi="Arial" w:cs="Arial"/>
          <w:b/>
          <w:sz w:val="24"/>
          <w:szCs w:val="24"/>
          <w:lang w:val="fr-FR"/>
        </w:rPr>
        <w:t>VI)</w:t>
      </w:r>
      <w:r w:rsidRPr="00122518">
        <w:rPr>
          <w:rFonts w:ascii="Arial" w:hAnsi="Arial" w:cs="Arial"/>
          <w:b/>
          <w:sz w:val="24"/>
          <w:szCs w:val="24"/>
          <w:lang w:val="fr-FR"/>
        </w:rPr>
        <w:tab/>
      </w:r>
      <w:r w:rsidR="00E7058C" w:rsidRPr="00122518">
        <w:rPr>
          <w:rFonts w:ascii="Arial" w:hAnsi="Arial" w:cs="Arial"/>
          <w:b/>
          <w:sz w:val="24"/>
          <w:szCs w:val="24"/>
          <w:lang w:val="fr-FR"/>
        </w:rPr>
        <w:t>Le crédit agricole, source de préoccupation du secteur bancaire</w:t>
      </w:r>
    </w:p>
    <w:p w:rsidR="00E7058C" w:rsidRPr="00E7058C" w:rsidRDefault="00E7058C" w:rsidP="00E7058C">
      <w:pPr>
        <w:pStyle w:val="NoSpacing"/>
        <w:jc w:val="both"/>
        <w:rPr>
          <w:rFonts w:ascii="Arial" w:hAnsi="Arial" w:cs="Arial"/>
          <w:sz w:val="24"/>
          <w:szCs w:val="24"/>
          <w:lang w:val="fr-FR"/>
        </w:rPr>
      </w:pPr>
      <w:r w:rsidRPr="00E7058C">
        <w:rPr>
          <w:rFonts w:ascii="Arial" w:hAnsi="Arial" w:cs="Arial"/>
          <w:sz w:val="24"/>
          <w:szCs w:val="24"/>
          <w:lang w:val="fr-FR"/>
        </w:rPr>
        <w:t xml:space="preserve">Un grand pas a été fait avec la loi sur le gage sans dépossession et la création de </w:t>
      </w:r>
    </w:p>
    <w:p w:rsidR="00E7058C" w:rsidRDefault="00E7058C" w:rsidP="00E7058C">
      <w:pPr>
        <w:pStyle w:val="NoSpacing"/>
        <w:jc w:val="both"/>
        <w:rPr>
          <w:rFonts w:ascii="Arial" w:hAnsi="Arial" w:cs="Arial"/>
          <w:sz w:val="24"/>
          <w:szCs w:val="24"/>
          <w:lang w:val="fr-FR"/>
        </w:rPr>
      </w:pPr>
      <w:proofErr w:type="gramStart"/>
      <w:r>
        <w:rPr>
          <w:rFonts w:ascii="Arial" w:hAnsi="Arial" w:cs="Arial"/>
          <w:sz w:val="24"/>
          <w:szCs w:val="24"/>
          <w:lang w:val="fr-FR"/>
        </w:rPr>
        <w:t>b</w:t>
      </w:r>
      <w:r w:rsidRPr="00E7058C">
        <w:rPr>
          <w:rFonts w:ascii="Arial" w:hAnsi="Arial" w:cs="Arial"/>
          <w:sz w:val="24"/>
          <w:szCs w:val="24"/>
          <w:lang w:val="fr-FR"/>
        </w:rPr>
        <w:t>ure</w:t>
      </w:r>
      <w:r>
        <w:rPr>
          <w:rFonts w:ascii="Arial" w:hAnsi="Arial" w:cs="Arial"/>
          <w:sz w:val="24"/>
          <w:szCs w:val="24"/>
          <w:lang w:val="fr-FR"/>
        </w:rPr>
        <w:t>au</w:t>
      </w:r>
      <w:proofErr w:type="gramEnd"/>
      <w:r>
        <w:rPr>
          <w:rFonts w:ascii="Arial" w:hAnsi="Arial" w:cs="Arial"/>
          <w:sz w:val="24"/>
          <w:szCs w:val="24"/>
          <w:lang w:val="fr-FR"/>
        </w:rPr>
        <w:t xml:space="preserve">  d’enregistrement des sûretés mobilières à la Direction Générale des Impôts. Cette loi ouvre la voie à l’achat d’équipements et d’outillages agricoles pour le </w:t>
      </w:r>
      <w:proofErr w:type="spellStart"/>
      <w:r w:rsidR="005A5416">
        <w:rPr>
          <w:rFonts w:ascii="Arial" w:hAnsi="Arial" w:cs="Arial"/>
          <w:sz w:val="24"/>
          <w:szCs w:val="24"/>
          <w:lang w:val="fr-FR"/>
        </w:rPr>
        <w:t>la</w:t>
      </w:r>
      <w:r>
        <w:rPr>
          <w:rFonts w:ascii="Arial" w:hAnsi="Arial" w:cs="Arial"/>
          <w:sz w:val="24"/>
          <w:szCs w:val="24"/>
          <w:lang w:val="fr-FR"/>
        </w:rPr>
        <w:t>bourrage</w:t>
      </w:r>
      <w:proofErr w:type="spellEnd"/>
      <w:r>
        <w:rPr>
          <w:rFonts w:ascii="Arial" w:hAnsi="Arial" w:cs="Arial"/>
          <w:sz w:val="24"/>
          <w:szCs w:val="24"/>
          <w:lang w:val="fr-FR"/>
        </w:rPr>
        <w:t xml:space="preserve"> des terres, l’ensemencement et l’acquisition de moulins pour la transformation de récoltes.</w:t>
      </w:r>
    </w:p>
    <w:p w:rsidR="00E7058C" w:rsidRDefault="00E7058C" w:rsidP="00E7058C">
      <w:pPr>
        <w:pStyle w:val="NoSpacing"/>
        <w:jc w:val="both"/>
        <w:rPr>
          <w:rFonts w:ascii="Arial" w:hAnsi="Arial" w:cs="Arial"/>
          <w:sz w:val="24"/>
          <w:szCs w:val="24"/>
          <w:lang w:val="fr-FR"/>
        </w:rPr>
      </w:pPr>
    </w:p>
    <w:p w:rsidR="00E7058C" w:rsidRDefault="00E7058C" w:rsidP="00E7058C">
      <w:pPr>
        <w:pStyle w:val="NoSpacing"/>
        <w:jc w:val="both"/>
        <w:rPr>
          <w:rFonts w:ascii="Arial" w:hAnsi="Arial" w:cs="Arial"/>
          <w:sz w:val="24"/>
          <w:szCs w:val="24"/>
          <w:lang w:val="fr-FR"/>
        </w:rPr>
      </w:pPr>
      <w:r>
        <w:rPr>
          <w:rFonts w:ascii="Arial" w:hAnsi="Arial" w:cs="Arial"/>
          <w:sz w:val="24"/>
          <w:szCs w:val="24"/>
          <w:lang w:val="fr-FR"/>
        </w:rPr>
        <w:t>Les espoirs mis sur cette loi ne sont pas encore matérialisés – les résultats tardent à venir en témoigne le faible niveau d’enregistrement des biens gagés (moins d’une vingtaine)</w:t>
      </w:r>
    </w:p>
    <w:p w:rsidR="00E7058C" w:rsidRDefault="00E7058C" w:rsidP="00E7058C">
      <w:pPr>
        <w:pStyle w:val="NoSpacing"/>
        <w:jc w:val="both"/>
        <w:rPr>
          <w:rFonts w:ascii="Arial" w:hAnsi="Arial" w:cs="Arial"/>
          <w:sz w:val="24"/>
          <w:szCs w:val="24"/>
          <w:lang w:val="fr-FR"/>
        </w:rPr>
      </w:pPr>
    </w:p>
    <w:p w:rsidR="00E7058C" w:rsidRDefault="00E7058C" w:rsidP="00E7058C">
      <w:pPr>
        <w:pStyle w:val="NoSpacing"/>
        <w:jc w:val="both"/>
        <w:rPr>
          <w:rFonts w:ascii="Arial" w:hAnsi="Arial" w:cs="Arial"/>
          <w:sz w:val="24"/>
          <w:szCs w:val="24"/>
          <w:lang w:val="fr-FR"/>
        </w:rPr>
      </w:pPr>
      <w:r>
        <w:rPr>
          <w:rFonts w:ascii="Arial" w:hAnsi="Arial" w:cs="Arial"/>
          <w:sz w:val="24"/>
          <w:szCs w:val="24"/>
          <w:lang w:val="fr-FR"/>
        </w:rPr>
        <w:t>Ceci devrait porter les principaux intéressés à revoir le cadre légal, à apporter les corrections nécessaires et à lever les entraves.</w:t>
      </w:r>
    </w:p>
    <w:p w:rsidR="00E7058C" w:rsidRDefault="00E7058C" w:rsidP="00E7058C">
      <w:pPr>
        <w:pStyle w:val="NoSpacing"/>
        <w:jc w:val="both"/>
        <w:rPr>
          <w:rFonts w:ascii="Arial" w:hAnsi="Arial" w:cs="Arial"/>
          <w:sz w:val="24"/>
          <w:szCs w:val="24"/>
          <w:lang w:val="fr-FR"/>
        </w:rPr>
      </w:pPr>
    </w:p>
    <w:p w:rsidR="00E7058C" w:rsidRDefault="00E7058C" w:rsidP="00E7058C">
      <w:pPr>
        <w:pStyle w:val="NoSpacing"/>
        <w:jc w:val="both"/>
        <w:rPr>
          <w:rFonts w:ascii="Arial" w:hAnsi="Arial" w:cs="Arial"/>
          <w:sz w:val="24"/>
          <w:szCs w:val="24"/>
          <w:lang w:val="fr-FR"/>
        </w:rPr>
      </w:pPr>
      <w:r>
        <w:rPr>
          <w:rFonts w:ascii="Arial" w:hAnsi="Arial" w:cs="Arial"/>
          <w:sz w:val="24"/>
          <w:szCs w:val="24"/>
          <w:lang w:val="fr-FR"/>
        </w:rPr>
        <w:t>Les entraves sont de tous ordres :</w:t>
      </w:r>
    </w:p>
    <w:p w:rsidR="00E7058C" w:rsidRDefault="00E7058C" w:rsidP="00E7058C">
      <w:pPr>
        <w:pStyle w:val="NoSpacing"/>
        <w:jc w:val="both"/>
        <w:rPr>
          <w:rFonts w:ascii="Arial" w:hAnsi="Arial" w:cs="Arial"/>
          <w:sz w:val="24"/>
          <w:szCs w:val="24"/>
          <w:lang w:val="fr-FR"/>
        </w:rPr>
      </w:pPr>
    </w:p>
    <w:p w:rsidR="00E7058C" w:rsidRDefault="00E7058C" w:rsidP="00E7058C">
      <w:pPr>
        <w:pStyle w:val="NoSpacing"/>
        <w:numPr>
          <w:ilvl w:val="0"/>
          <w:numId w:val="5"/>
        </w:numPr>
        <w:jc w:val="both"/>
        <w:rPr>
          <w:rFonts w:ascii="Arial" w:hAnsi="Arial" w:cs="Arial"/>
          <w:sz w:val="24"/>
          <w:szCs w:val="24"/>
          <w:lang w:val="fr-FR"/>
        </w:rPr>
      </w:pPr>
      <w:r>
        <w:rPr>
          <w:rFonts w:ascii="Arial" w:hAnsi="Arial" w:cs="Arial"/>
          <w:sz w:val="24"/>
          <w:szCs w:val="24"/>
          <w:lang w:val="fr-FR"/>
        </w:rPr>
        <w:t>l’identification du citoyen et la création de groupements</w:t>
      </w:r>
      <w:r w:rsidR="00F64E8F">
        <w:rPr>
          <w:rFonts w:ascii="Arial" w:hAnsi="Arial" w:cs="Arial"/>
          <w:sz w:val="24"/>
          <w:szCs w:val="24"/>
          <w:lang w:val="fr-FR"/>
        </w:rPr>
        <w:t xml:space="preserve"> </w:t>
      </w:r>
      <w:r>
        <w:rPr>
          <w:rFonts w:ascii="Arial" w:hAnsi="Arial" w:cs="Arial"/>
          <w:sz w:val="24"/>
          <w:szCs w:val="24"/>
          <w:lang w:val="fr-FR"/>
        </w:rPr>
        <w:t>organisés</w:t>
      </w:r>
      <w:r w:rsidR="00F64E8F">
        <w:rPr>
          <w:rFonts w:ascii="Arial" w:hAnsi="Arial" w:cs="Arial"/>
          <w:sz w:val="24"/>
          <w:szCs w:val="24"/>
          <w:lang w:val="fr-FR"/>
        </w:rPr>
        <w:t xml:space="preserve"> (coopératives, ONG)  pour pallier  aux problèmes d’identification des personnes</w:t>
      </w:r>
    </w:p>
    <w:p w:rsidR="00F64E8F" w:rsidRDefault="00F64E8F" w:rsidP="00E7058C">
      <w:pPr>
        <w:pStyle w:val="NoSpacing"/>
        <w:numPr>
          <w:ilvl w:val="0"/>
          <w:numId w:val="5"/>
        </w:numPr>
        <w:jc w:val="both"/>
        <w:rPr>
          <w:rFonts w:ascii="Arial" w:hAnsi="Arial" w:cs="Arial"/>
          <w:sz w:val="24"/>
          <w:szCs w:val="24"/>
          <w:lang w:val="fr-FR"/>
        </w:rPr>
      </w:pPr>
      <w:r>
        <w:rPr>
          <w:rFonts w:ascii="Arial" w:hAnsi="Arial" w:cs="Arial"/>
          <w:sz w:val="24"/>
          <w:szCs w:val="24"/>
          <w:lang w:val="fr-FR"/>
        </w:rPr>
        <w:t>les aléas climatiques et les mécanismes de garantie des récoltes</w:t>
      </w:r>
    </w:p>
    <w:p w:rsidR="00F64E8F" w:rsidRPr="00E7058C" w:rsidRDefault="00F64E8F" w:rsidP="00E7058C">
      <w:pPr>
        <w:pStyle w:val="NoSpacing"/>
        <w:numPr>
          <w:ilvl w:val="0"/>
          <w:numId w:val="5"/>
        </w:numPr>
        <w:jc w:val="both"/>
        <w:rPr>
          <w:rFonts w:ascii="Arial" w:hAnsi="Arial" w:cs="Arial"/>
          <w:sz w:val="24"/>
          <w:szCs w:val="24"/>
          <w:lang w:val="fr-FR"/>
        </w:rPr>
      </w:pPr>
      <w:r>
        <w:rPr>
          <w:rFonts w:ascii="Arial" w:hAnsi="Arial" w:cs="Arial"/>
          <w:sz w:val="24"/>
          <w:szCs w:val="24"/>
          <w:lang w:val="fr-FR"/>
        </w:rPr>
        <w:t>les procédures judiciaires permettant de reprendre possession du bien gagé en cas de défaillance du préteur</w:t>
      </w:r>
    </w:p>
    <w:p w:rsidR="0052093C" w:rsidRDefault="0052093C" w:rsidP="0052093C">
      <w:pPr>
        <w:pStyle w:val="ListParagraph"/>
        <w:rPr>
          <w:rFonts w:ascii="Arial" w:hAnsi="Arial" w:cs="Arial"/>
          <w:sz w:val="24"/>
          <w:szCs w:val="24"/>
          <w:lang w:val="fr-FR"/>
        </w:rPr>
      </w:pPr>
    </w:p>
    <w:p w:rsidR="00122518" w:rsidRDefault="00122518" w:rsidP="00122518">
      <w:pPr>
        <w:pStyle w:val="ListParagraph"/>
        <w:jc w:val="center"/>
        <w:rPr>
          <w:rFonts w:ascii="Arial" w:hAnsi="Arial" w:cs="Arial"/>
          <w:sz w:val="24"/>
          <w:szCs w:val="24"/>
          <w:lang w:val="fr-FR"/>
        </w:rPr>
      </w:pPr>
      <w:r>
        <w:rPr>
          <w:rFonts w:ascii="Arial" w:hAnsi="Arial" w:cs="Arial"/>
          <w:sz w:val="24"/>
          <w:szCs w:val="24"/>
          <w:lang w:val="fr-FR"/>
        </w:rPr>
        <w:lastRenderedPageBreak/>
        <w:t>-6</w:t>
      </w:r>
      <w:r w:rsidR="00F469B2">
        <w:rPr>
          <w:rFonts w:ascii="Arial" w:hAnsi="Arial" w:cs="Arial"/>
          <w:sz w:val="24"/>
          <w:szCs w:val="24"/>
          <w:lang w:val="fr-FR"/>
        </w:rPr>
        <w:t>-</w:t>
      </w:r>
    </w:p>
    <w:p w:rsidR="00122518" w:rsidRPr="0052093C" w:rsidRDefault="00122518" w:rsidP="0052093C">
      <w:pPr>
        <w:pStyle w:val="ListParagraph"/>
        <w:rPr>
          <w:rFonts w:ascii="Arial" w:hAnsi="Arial" w:cs="Arial"/>
          <w:sz w:val="24"/>
          <w:szCs w:val="24"/>
          <w:lang w:val="fr-FR"/>
        </w:rPr>
      </w:pPr>
    </w:p>
    <w:p w:rsidR="0052093C" w:rsidRPr="00122518" w:rsidRDefault="0052093C" w:rsidP="00122518">
      <w:pPr>
        <w:pStyle w:val="ListParagraph"/>
        <w:numPr>
          <w:ilvl w:val="0"/>
          <w:numId w:val="8"/>
        </w:numPr>
        <w:jc w:val="both"/>
        <w:rPr>
          <w:rFonts w:ascii="Arial" w:hAnsi="Arial" w:cs="Arial"/>
          <w:b/>
          <w:sz w:val="24"/>
          <w:szCs w:val="24"/>
          <w:lang w:val="fr-FR"/>
        </w:rPr>
      </w:pPr>
      <w:r w:rsidRPr="00122518">
        <w:rPr>
          <w:rFonts w:ascii="Arial" w:hAnsi="Arial" w:cs="Arial"/>
          <w:b/>
          <w:sz w:val="24"/>
          <w:szCs w:val="24"/>
          <w:lang w:val="fr-FR"/>
        </w:rPr>
        <w:t>Les autres entraves au crédit :</w:t>
      </w:r>
    </w:p>
    <w:p w:rsidR="00122518" w:rsidRPr="00122518" w:rsidRDefault="00122518" w:rsidP="00122518">
      <w:pPr>
        <w:pStyle w:val="ListParagraph"/>
        <w:ind w:left="1080"/>
        <w:jc w:val="both"/>
        <w:rPr>
          <w:rFonts w:ascii="Arial" w:hAnsi="Arial" w:cs="Arial"/>
          <w:sz w:val="24"/>
          <w:szCs w:val="24"/>
          <w:lang w:val="fr-FR"/>
        </w:rPr>
      </w:pPr>
    </w:p>
    <w:p w:rsidR="0052093C" w:rsidRDefault="0052093C" w:rsidP="0052093C">
      <w:pPr>
        <w:pStyle w:val="ListParagraph"/>
        <w:numPr>
          <w:ilvl w:val="0"/>
          <w:numId w:val="5"/>
        </w:numPr>
        <w:jc w:val="both"/>
        <w:rPr>
          <w:rFonts w:ascii="Arial" w:hAnsi="Arial" w:cs="Arial"/>
          <w:sz w:val="24"/>
          <w:szCs w:val="24"/>
          <w:lang w:val="fr-FR"/>
        </w:rPr>
      </w:pPr>
      <w:r>
        <w:rPr>
          <w:rFonts w:ascii="Arial" w:hAnsi="Arial" w:cs="Arial"/>
          <w:sz w:val="24"/>
          <w:szCs w:val="24"/>
          <w:lang w:val="fr-FR"/>
        </w:rPr>
        <w:t>Les faiblesses du foncier caractérisées par l’absence de cadastre, la précarité des titres de propriété,</w:t>
      </w:r>
      <w:r w:rsidR="00146045">
        <w:rPr>
          <w:rFonts w:ascii="Arial" w:hAnsi="Arial" w:cs="Arial"/>
          <w:sz w:val="24"/>
          <w:szCs w:val="24"/>
          <w:lang w:val="fr-FR"/>
        </w:rPr>
        <w:t xml:space="preserve"> le squat des </w:t>
      </w:r>
      <w:r>
        <w:rPr>
          <w:rFonts w:ascii="Arial" w:hAnsi="Arial" w:cs="Arial"/>
          <w:sz w:val="24"/>
          <w:szCs w:val="24"/>
          <w:lang w:val="fr-FR"/>
        </w:rPr>
        <w:t xml:space="preserve"> terres</w:t>
      </w:r>
      <w:r w:rsidR="00146045">
        <w:rPr>
          <w:rFonts w:ascii="Arial" w:hAnsi="Arial" w:cs="Arial"/>
          <w:sz w:val="24"/>
          <w:szCs w:val="24"/>
          <w:lang w:val="fr-FR"/>
        </w:rPr>
        <w:t xml:space="preserve"> </w:t>
      </w:r>
      <w:r>
        <w:rPr>
          <w:rFonts w:ascii="Arial" w:hAnsi="Arial" w:cs="Arial"/>
          <w:sz w:val="24"/>
          <w:szCs w:val="24"/>
          <w:lang w:val="fr-FR"/>
        </w:rPr>
        <w:t>et l’absence de zoning</w:t>
      </w:r>
    </w:p>
    <w:p w:rsidR="0052093C" w:rsidRDefault="0052093C" w:rsidP="0052093C">
      <w:pPr>
        <w:pStyle w:val="ListParagraph"/>
        <w:numPr>
          <w:ilvl w:val="0"/>
          <w:numId w:val="5"/>
        </w:numPr>
        <w:jc w:val="both"/>
        <w:rPr>
          <w:rFonts w:ascii="Arial" w:hAnsi="Arial" w:cs="Arial"/>
          <w:sz w:val="24"/>
          <w:szCs w:val="24"/>
          <w:lang w:val="fr-FR"/>
        </w:rPr>
      </w:pPr>
      <w:r>
        <w:rPr>
          <w:rFonts w:ascii="Arial" w:hAnsi="Arial" w:cs="Arial"/>
          <w:sz w:val="24"/>
          <w:szCs w:val="24"/>
          <w:lang w:val="fr-FR"/>
        </w:rPr>
        <w:t>La question de l’identité des citoyens liée à la faiblesse des documents usuels, la précarité de l’habitat et la mobilité de la population</w:t>
      </w:r>
    </w:p>
    <w:p w:rsidR="00146045" w:rsidRDefault="00146045" w:rsidP="0052093C">
      <w:pPr>
        <w:pStyle w:val="ListParagraph"/>
        <w:numPr>
          <w:ilvl w:val="0"/>
          <w:numId w:val="5"/>
        </w:numPr>
        <w:jc w:val="both"/>
        <w:rPr>
          <w:rFonts w:ascii="Arial" w:hAnsi="Arial" w:cs="Arial"/>
          <w:sz w:val="24"/>
          <w:szCs w:val="24"/>
          <w:lang w:val="fr-FR"/>
        </w:rPr>
      </w:pPr>
      <w:r>
        <w:rPr>
          <w:rFonts w:ascii="Arial" w:hAnsi="Arial" w:cs="Arial"/>
          <w:sz w:val="24"/>
          <w:szCs w:val="24"/>
          <w:lang w:val="fr-FR"/>
        </w:rPr>
        <w:t>Le manque de capital causé par des troubles sociopolitiques, les catastrophes naturelles et la paupérisation</w:t>
      </w:r>
    </w:p>
    <w:p w:rsidR="00146045" w:rsidRDefault="00146045" w:rsidP="00146045">
      <w:pPr>
        <w:ind w:left="360"/>
        <w:jc w:val="both"/>
        <w:rPr>
          <w:rFonts w:ascii="Arial" w:hAnsi="Arial" w:cs="Arial"/>
          <w:sz w:val="24"/>
          <w:szCs w:val="24"/>
          <w:lang w:val="fr-FR"/>
        </w:rPr>
      </w:pPr>
      <w:r w:rsidRPr="00146045">
        <w:rPr>
          <w:rFonts w:ascii="Arial" w:hAnsi="Arial" w:cs="Arial"/>
          <w:sz w:val="24"/>
          <w:szCs w:val="24"/>
          <w:lang w:val="fr-FR"/>
        </w:rPr>
        <w:t xml:space="preserve">Le coût du crédit : </w:t>
      </w:r>
      <w:r w:rsidRPr="00146045">
        <w:rPr>
          <w:rFonts w:ascii="Arial" w:hAnsi="Arial" w:cs="Arial"/>
          <w:sz w:val="24"/>
          <w:szCs w:val="24"/>
          <w:lang w:val="fr-FR"/>
        </w:rPr>
        <w:tab/>
      </w:r>
    </w:p>
    <w:p w:rsidR="00146045" w:rsidRDefault="00146045" w:rsidP="00146045">
      <w:pPr>
        <w:pStyle w:val="ListParagraph"/>
        <w:numPr>
          <w:ilvl w:val="0"/>
          <w:numId w:val="5"/>
        </w:numPr>
        <w:jc w:val="both"/>
        <w:rPr>
          <w:rFonts w:ascii="Arial" w:hAnsi="Arial" w:cs="Arial"/>
          <w:sz w:val="24"/>
          <w:szCs w:val="24"/>
          <w:lang w:val="fr-FR"/>
        </w:rPr>
      </w:pPr>
      <w:r w:rsidRPr="00146045">
        <w:rPr>
          <w:rFonts w:ascii="Arial" w:hAnsi="Arial" w:cs="Arial"/>
          <w:sz w:val="24"/>
          <w:szCs w:val="24"/>
          <w:lang w:val="fr-FR"/>
        </w:rPr>
        <w:t>coût des fonds</w:t>
      </w:r>
    </w:p>
    <w:p w:rsidR="00146045" w:rsidRDefault="00146045" w:rsidP="00146045">
      <w:pPr>
        <w:pStyle w:val="ListParagraph"/>
        <w:numPr>
          <w:ilvl w:val="0"/>
          <w:numId w:val="5"/>
        </w:numPr>
        <w:jc w:val="both"/>
        <w:rPr>
          <w:rFonts w:ascii="Arial" w:hAnsi="Arial" w:cs="Arial"/>
          <w:sz w:val="24"/>
          <w:szCs w:val="24"/>
          <w:lang w:val="fr-FR"/>
        </w:rPr>
      </w:pPr>
      <w:r>
        <w:rPr>
          <w:rFonts w:ascii="Arial" w:hAnsi="Arial" w:cs="Arial"/>
          <w:sz w:val="24"/>
          <w:szCs w:val="24"/>
          <w:lang w:val="fr-FR"/>
        </w:rPr>
        <w:t>taux d’intérêts, commissions, agios, frais légaux jugés excessifs même par les bénéficiaires privilégiés</w:t>
      </w:r>
    </w:p>
    <w:p w:rsidR="00146045" w:rsidRDefault="00146045" w:rsidP="00146045">
      <w:pPr>
        <w:pStyle w:val="ListParagraph"/>
        <w:numPr>
          <w:ilvl w:val="0"/>
          <w:numId w:val="5"/>
        </w:numPr>
        <w:jc w:val="both"/>
        <w:rPr>
          <w:rFonts w:ascii="Arial" w:hAnsi="Arial" w:cs="Arial"/>
          <w:sz w:val="24"/>
          <w:szCs w:val="24"/>
          <w:lang w:val="fr-FR"/>
        </w:rPr>
      </w:pPr>
      <w:r>
        <w:rPr>
          <w:rFonts w:ascii="Arial" w:hAnsi="Arial" w:cs="Arial"/>
          <w:sz w:val="24"/>
          <w:szCs w:val="24"/>
          <w:lang w:val="fr-FR"/>
        </w:rPr>
        <w:t>les déficiences de l’encadrement légal : organisation judiciaire, droit des affaires</w:t>
      </w:r>
    </w:p>
    <w:p w:rsidR="00A47814" w:rsidRDefault="00A47814" w:rsidP="00A47814">
      <w:pPr>
        <w:pStyle w:val="ListParagraph"/>
        <w:jc w:val="both"/>
        <w:rPr>
          <w:rFonts w:ascii="Arial" w:hAnsi="Arial" w:cs="Arial"/>
          <w:sz w:val="24"/>
          <w:szCs w:val="24"/>
          <w:lang w:val="fr-FR"/>
        </w:rPr>
      </w:pPr>
    </w:p>
    <w:p w:rsidR="00A47814" w:rsidRPr="00A47814" w:rsidRDefault="00A47814" w:rsidP="00A47814">
      <w:pPr>
        <w:pStyle w:val="ListParagraph"/>
        <w:numPr>
          <w:ilvl w:val="0"/>
          <w:numId w:val="8"/>
        </w:numPr>
        <w:jc w:val="both"/>
        <w:rPr>
          <w:rFonts w:ascii="Arial" w:hAnsi="Arial" w:cs="Arial"/>
          <w:b/>
          <w:sz w:val="24"/>
          <w:szCs w:val="24"/>
          <w:lang w:val="fr-FR"/>
        </w:rPr>
      </w:pPr>
      <w:r w:rsidRPr="00A47814">
        <w:rPr>
          <w:rFonts w:ascii="Arial" w:hAnsi="Arial" w:cs="Arial"/>
          <w:b/>
          <w:sz w:val="24"/>
          <w:szCs w:val="24"/>
          <w:lang w:val="fr-FR"/>
        </w:rPr>
        <w:t>Le financement de l’immobilier</w:t>
      </w:r>
    </w:p>
    <w:p w:rsidR="0047403D" w:rsidRPr="005A5416" w:rsidRDefault="0047403D" w:rsidP="005A5416">
      <w:pPr>
        <w:jc w:val="both"/>
        <w:rPr>
          <w:rFonts w:ascii="Arial" w:hAnsi="Arial" w:cs="Arial"/>
          <w:sz w:val="24"/>
          <w:szCs w:val="24"/>
          <w:lang w:val="fr-FR"/>
        </w:rPr>
      </w:pPr>
      <w:r w:rsidRPr="005A5416">
        <w:rPr>
          <w:rFonts w:ascii="Arial" w:hAnsi="Arial" w:cs="Arial"/>
          <w:sz w:val="24"/>
          <w:szCs w:val="24"/>
          <w:lang w:val="fr-FR"/>
        </w:rPr>
        <w:t>Le gouvernement à travers la nouvelle loi bancaire et le projet de loi de  finances de l’exercice 2013/2014 a adressé les problèmes causés par les coûts d’enregistrement des dossiers de crédit et les tarifs désuets pratiqués en matière d’impôts sur les propriétés bâties – ces mesures constituent une bonne incitation pour l</w:t>
      </w:r>
      <w:r w:rsidR="00A47814">
        <w:rPr>
          <w:rFonts w:ascii="Arial" w:hAnsi="Arial" w:cs="Arial"/>
          <w:sz w:val="24"/>
          <w:szCs w:val="24"/>
          <w:lang w:val="fr-FR"/>
        </w:rPr>
        <w:t>e développement de l’immobilier, i</w:t>
      </w:r>
      <w:r w:rsidRPr="005A5416">
        <w:rPr>
          <w:rFonts w:ascii="Arial" w:hAnsi="Arial" w:cs="Arial"/>
          <w:sz w:val="24"/>
          <w:szCs w:val="24"/>
          <w:lang w:val="fr-FR"/>
        </w:rPr>
        <w:t>l en est de même de l’arrêté d’interprétation de la loi sur la copropriété.</w:t>
      </w:r>
    </w:p>
    <w:p w:rsidR="008C0A23" w:rsidRPr="005A5416" w:rsidRDefault="0047403D" w:rsidP="005A5416">
      <w:pPr>
        <w:jc w:val="both"/>
        <w:rPr>
          <w:rFonts w:ascii="Arial" w:hAnsi="Arial" w:cs="Arial"/>
          <w:sz w:val="24"/>
          <w:szCs w:val="24"/>
          <w:lang w:val="fr-FR"/>
        </w:rPr>
      </w:pPr>
      <w:r w:rsidRPr="005A5416">
        <w:rPr>
          <w:rFonts w:ascii="Arial" w:hAnsi="Arial" w:cs="Arial"/>
          <w:sz w:val="24"/>
          <w:szCs w:val="24"/>
          <w:lang w:val="fr-FR"/>
        </w:rPr>
        <w:t>Il reste toutefois à se pencher sur les droits et honoraires de notaires lors des achats et ventes d’immeubles. Le tarif des notaires date de 1969 et ne cadre plus avec la réalité du marché.  Certaines lois sur les loyers résidentiels, comme</w:t>
      </w:r>
      <w:r w:rsidR="00122518" w:rsidRPr="005A5416">
        <w:rPr>
          <w:rFonts w:ascii="Arial" w:hAnsi="Arial" w:cs="Arial"/>
          <w:sz w:val="24"/>
          <w:szCs w:val="24"/>
          <w:lang w:val="fr-FR"/>
        </w:rPr>
        <w:t>rciaux et industriels sont désuè</w:t>
      </w:r>
      <w:r w:rsidRPr="005A5416">
        <w:rPr>
          <w:rFonts w:ascii="Arial" w:hAnsi="Arial" w:cs="Arial"/>
          <w:sz w:val="24"/>
          <w:szCs w:val="24"/>
          <w:lang w:val="fr-FR"/>
        </w:rPr>
        <w:t>tes et méritent d’être révisées.</w:t>
      </w:r>
    </w:p>
    <w:p w:rsidR="00081725" w:rsidRDefault="00081725">
      <w:pPr>
        <w:rPr>
          <w:rFonts w:ascii="Arial" w:hAnsi="Arial" w:cs="Arial"/>
          <w:sz w:val="24"/>
          <w:szCs w:val="24"/>
          <w:lang w:val="fr-FR"/>
        </w:rPr>
      </w:pPr>
      <w:r>
        <w:rPr>
          <w:rFonts w:ascii="Arial" w:hAnsi="Arial" w:cs="Arial"/>
          <w:sz w:val="24"/>
          <w:szCs w:val="24"/>
          <w:lang w:val="fr-FR"/>
        </w:rPr>
        <w:br w:type="page"/>
      </w:r>
    </w:p>
    <w:p w:rsidR="00ED0F46" w:rsidRPr="001106CA" w:rsidRDefault="00AB7C82" w:rsidP="001106CA">
      <w:pPr>
        <w:jc w:val="center"/>
        <w:rPr>
          <w:rFonts w:ascii="Arial" w:hAnsi="Arial" w:cs="Arial"/>
          <w:b/>
          <w:sz w:val="24"/>
          <w:szCs w:val="24"/>
          <w:lang w:val="fr-FR"/>
        </w:rPr>
      </w:pPr>
      <w:r>
        <w:rPr>
          <w:rFonts w:ascii="Arial" w:hAnsi="Arial" w:cs="Arial"/>
          <w:b/>
          <w:sz w:val="24"/>
          <w:szCs w:val="24"/>
          <w:lang w:val="fr-FR"/>
        </w:rPr>
        <w:lastRenderedPageBreak/>
        <w:t>AG</w:t>
      </w:r>
      <w:r w:rsidR="001106CA" w:rsidRPr="001106CA">
        <w:rPr>
          <w:rFonts w:ascii="Arial" w:hAnsi="Arial" w:cs="Arial"/>
          <w:b/>
          <w:sz w:val="24"/>
          <w:szCs w:val="24"/>
          <w:lang w:val="fr-FR"/>
        </w:rPr>
        <w:t>REGATS MONETAIRES</w:t>
      </w:r>
    </w:p>
    <w:p w:rsidR="001106CA" w:rsidRDefault="001106CA" w:rsidP="001106CA">
      <w:pPr>
        <w:jc w:val="center"/>
        <w:rPr>
          <w:rFonts w:ascii="Arial" w:hAnsi="Arial" w:cs="Arial"/>
          <w:b/>
          <w:sz w:val="24"/>
          <w:szCs w:val="24"/>
          <w:lang w:val="fr-FR"/>
        </w:rPr>
      </w:pPr>
      <w:r w:rsidRPr="001106CA">
        <w:rPr>
          <w:rFonts w:ascii="Arial" w:hAnsi="Arial" w:cs="Arial"/>
          <w:b/>
          <w:sz w:val="24"/>
          <w:szCs w:val="24"/>
          <w:lang w:val="fr-FR"/>
        </w:rPr>
        <w:t>(En millions de gourdes)</w:t>
      </w:r>
    </w:p>
    <w:tbl>
      <w:tblPr>
        <w:tblW w:w="9553" w:type="dxa"/>
        <w:tblInd w:w="93" w:type="dxa"/>
        <w:tblLook w:val="04A0"/>
      </w:tblPr>
      <w:tblGrid>
        <w:gridCol w:w="3060"/>
        <w:gridCol w:w="1219"/>
        <w:gridCol w:w="1219"/>
        <w:gridCol w:w="1219"/>
        <w:gridCol w:w="1219"/>
        <w:gridCol w:w="1459"/>
        <w:gridCol w:w="960"/>
      </w:tblGrid>
      <w:tr w:rsidR="001106CA" w:rsidRPr="001106CA" w:rsidTr="001106CA">
        <w:trPr>
          <w:trHeight w:val="30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6CA" w:rsidRPr="00641EE5" w:rsidRDefault="001106CA" w:rsidP="001106CA">
            <w:pPr>
              <w:spacing w:after="0" w:line="240" w:lineRule="auto"/>
              <w:rPr>
                <w:rFonts w:ascii="Calibri" w:eastAsia="Times New Roman" w:hAnsi="Calibri" w:cs="Times New Roman"/>
                <w:b/>
                <w:bCs/>
                <w:color w:val="000000"/>
                <w:lang w:val="fr-FR"/>
              </w:rPr>
            </w:pPr>
            <w:r w:rsidRPr="00641EE5">
              <w:rPr>
                <w:rFonts w:ascii="Calibri" w:eastAsia="Times New Roman" w:hAnsi="Calibri" w:cs="Times New Roman"/>
                <w:b/>
                <w:bCs/>
                <w:color w:val="000000"/>
                <w:lang w:val="fr-FR"/>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b/>
                <w:bCs/>
                <w:color w:val="000000"/>
              </w:rPr>
            </w:pPr>
            <w:r w:rsidRPr="001106CA">
              <w:rPr>
                <w:rFonts w:ascii="Calibri" w:eastAsia="Times New Roman" w:hAnsi="Calibri" w:cs="Times New Roman"/>
                <w:b/>
                <w:bCs/>
                <w:color w:val="000000"/>
              </w:rPr>
              <w:t>2008/09</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b/>
                <w:bCs/>
                <w:color w:val="000000"/>
              </w:rPr>
            </w:pPr>
            <w:r w:rsidRPr="001106CA">
              <w:rPr>
                <w:rFonts w:ascii="Calibri" w:eastAsia="Times New Roman" w:hAnsi="Calibri" w:cs="Times New Roman"/>
                <w:b/>
                <w:bCs/>
                <w:color w:val="000000"/>
              </w:rPr>
              <w:t>2009/10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b/>
                <w:bCs/>
                <w:color w:val="000000"/>
              </w:rPr>
            </w:pPr>
            <w:r w:rsidRPr="001106CA">
              <w:rPr>
                <w:rFonts w:ascii="Calibri" w:eastAsia="Times New Roman" w:hAnsi="Calibri" w:cs="Times New Roman"/>
                <w:b/>
                <w:bCs/>
                <w:color w:val="000000"/>
              </w:rPr>
              <w:t>2010/11</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b/>
                <w:bCs/>
                <w:color w:val="000000"/>
              </w:rPr>
            </w:pPr>
            <w:r w:rsidRPr="001106CA">
              <w:rPr>
                <w:rFonts w:ascii="Calibri" w:eastAsia="Times New Roman" w:hAnsi="Calibri" w:cs="Times New Roman"/>
                <w:b/>
                <w:bCs/>
                <w:color w:val="000000"/>
              </w:rPr>
              <w:t>2011/12</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b/>
                <w:bCs/>
                <w:color w:val="000000"/>
              </w:rPr>
            </w:pPr>
            <w:r w:rsidRPr="001106CA">
              <w:rPr>
                <w:rFonts w:ascii="Calibri" w:eastAsia="Times New Roman" w:hAnsi="Calibri" w:cs="Times New Roman"/>
                <w:b/>
                <w:bCs/>
                <w:color w:val="000000"/>
              </w:rPr>
              <w:t>2012/13(</w:t>
            </w:r>
            <w:proofErr w:type="spellStart"/>
            <w:r w:rsidRPr="001106CA">
              <w:rPr>
                <w:rFonts w:ascii="Calibri" w:eastAsia="Times New Roman" w:hAnsi="Calibri" w:cs="Times New Roman"/>
                <w:b/>
                <w:bCs/>
                <w:color w:val="000000"/>
              </w:rPr>
              <w:t>mai</w:t>
            </w:r>
            <w:proofErr w:type="spellEnd"/>
            <w:r w:rsidRPr="001106CA">
              <w:rPr>
                <w:rFonts w:ascii="Calibri" w:eastAsia="Times New Roman" w:hAnsi="Calibri" w:cs="Times New Roman"/>
                <w:b/>
                <w:bCs/>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b/>
                <w:bCs/>
                <w:color w:val="000000"/>
              </w:rPr>
            </w:pPr>
            <w:r w:rsidRPr="001106CA">
              <w:rPr>
                <w:rFonts w:ascii="Calibri" w:eastAsia="Times New Roman" w:hAnsi="Calibri" w:cs="Times New Roman"/>
                <w:b/>
                <w:bCs/>
                <w:color w:val="000000"/>
              </w:rPr>
              <w:t> </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proofErr w:type="spellStart"/>
            <w:r w:rsidRPr="001106CA">
              <w:rPr>
                <w:rFonts w:ascii="Calibri" w:eastAsia="Times New Roman" w:hAnsi="Calibri" w:cs="Times New Roman"/>
                <w:color w:val="000000"/>
              </w:rPr>
              <w:t>Monnaie</w:t>
            </w:r>
            <w:proofErr w:type="spellEnd"/>
            <w:r w:rsidRPr="001106CA">
              <w:rPr>
                <w:rFonts w:ascii="Calibri" w:eastAsia="Times New Roman" w:hAnsi="Calibri" w:cs="Times New Roman"/>
                <w:color w:val="000000"/>
              </w:rPr>
              <w:t xml:space="preserve"> en circulation</w:t>
            </w:r>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13,447.74</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17,282.44</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18,401.20</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20,231.50</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20,560.27</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proofErr w:type="spellStart"/>
            <w:r w:rsidRPr="001106CA">
              <w:rPr>
                <w:rFonts w:ascii="Calibri" w:eastAsia="Times New Roman" w:hAnsi="Calibri" w:cs="Times New Roman"/>
                <w:color w:val="000000"/>
              </w:rPr>
              <w:t>Dépôts</w:t>
            </w:r>
            <w:proofErr w:type="spellEnd"/>
            <w:r w:rsidRPr="001106CA">
              <w:rPr>
                <w:rFonts w:ascii="Calibri" w:eastAsia="Times New Roman" w:hAnsi="Calibri" w:cs="Times New Roman"/>
                <w:color w:val="000000"/>
              </w:rPr>
              <w:t xml:space="preserve"> en </w:t>
            </w:r>
            <w:proofErr w:type="spellStart"/>
            <w:r w:rsidRPr="001106CA">
              <w:rPr>
                <w:rFonts w:ascii="Calibri" w:eastAsia="Times New Roman" w:hAnsi="Calibri" w:cs="Times New Roman"/>
                <w:color w:val="000000"/>
              </w:rPr>
              <w:t>gourdes</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xml:space="preserve">                  à </w:t>
            </w:r>
            <w:proofErr w:type="spellStart"/>
            <w:r w:rsidRPr="001106CA">
              <w:rPr>
                <w:rFonts w:ascii="Calibri" w:eastAsia="Times New Roman" w:hAnsi="Calibri" w:cs="Times New Roman"/>
                <w:color w:val="000000"/>
              </w:rPr>
              <w:t>vue</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15,294.10</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20,173.36</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22,586.77</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26,150.96</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24,924.51</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xml:space="preserve">                  </w:t>
            </w:r>
            <w:proofErr w:type="spellStart"/>
            <w:r w:rsidRPr="001106CA">
              <w:rPr>
                <w:rFonts w:ascii="Calibri" w:eastAsia="Times New Roman" w:hAnsi="Calibri" w:cs="Times New Roman"/>
                <w:color w:val="000000"/>
              </w:rPr>
              <w:t>d'épargne</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17,799.76</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21,345.99</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23,036.67</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23,625.37</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24,756.01</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xml:space="preserve">                  à </w:t>
            </w:r>
            <w:proofErr w:type="spellStart"/>
            <w:r w:rsidRPr="001106CA">
              <w:rPr>
                <w:rFonts w:ascii="Calibri" w:eastAsia="Times New Roman" w:hAnsi="Calibri" w:cs="Times New Roman"/>
                <w:color w:val="000000"/>
              </w:rPr>
              <w:t>terme</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8,305.20</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7,264.49</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7,217.92</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7,069.52</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7,759.93</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proofErr w:type="spellStart"/>
            <w:r w:rsidRPr="001106CA">
              <w:rPr>
                <w:rFonts w:ascii="Calibri" w:eastAsia="Times New Roman" w:hAnsi="Calibri" w:cs="Times New Roman"/>
                <w:color w:val="000000"/>
              </w:rPr>
              <w:t>Dépôts</w:t>
            </w:r>
            <w:proofErr w:type="spellEnd"/>
            <w:r w:rsidRPr="001106CA">
              <w:rPr>
                <w:rFonts w:ascii="Calibri" w:eastAsia="Times New Roman" w:hAnsi="Calibri" w:cs="Times New Roman"/>
                <w:color w:val="000000"/>
              </w:rPr>
              <w:t xml:space="preserve"> </w:t>
            </w:r>
            <w:proofErr w:type="spellStart"/>
            <w:r w:rsidRPr="001106CA">
              <w:rPr>
                <w:rFonts w:ascii="Calibri" w:eastAsia="Times New Roman" w:hAnsi="Calibri" w:cs="Times New Roman"/>
                <w:color w:val="000000"/>
              </w:rPr>
              <w:t>totaux</w:t>
            </w:r>
            <w:proofErr w:type="spellEnd"/>
            <w:r w:rsidRPr="001106CA">
              <w:rPr>
                <w:rFonts w:ascii="Calibri" w:eastAsia="Times New Roman" w:hAnsi="Calibri" w:cs="Times New Roman"/>
                <w:color w:val="000000"/>
              </w:rPr>
              <w:t xml:space="preserve"> en </w:t>
            </w:r>
            <w:proofErr w:type="spellStart"/>
            <w:r w:rsidRPr="001106CA">
              <w:rPr>
                <w:rFonts w:ascii="Calibri" w:eastAsia="Times New Roman" w:hAnsi="Calibri" w:cs="Times New Roman"/>
                <w:color w:val="000000"/>
              </w:rPr>
              <w:t>gourdes</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41,399.06</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48,783.84</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52,841.36</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56,845.85</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57,440.45</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proofErr w:type="spellStart"/>
            <w:r w:rsidRPr="001106CA">
              <w:rPr>
                <w:rFonts w:ascii="Calibri" w:eastAsia="Times New Roman" w:hAnsi="Calibri" w:cs="Times New Roman"/>
                <w:color w:val="000000"/>
              </w:rPr>
              <w:t>Dépôts</w:t>
            </w:r>
            <w:proofErr w:type="spellEnd"/>
            <w:r w:rsidRPr="001106CA">
              <w:rPr>
                <w:rFonts w:ascii="Calibri" w:eastAsia="Times New Roman" w:hAnsi="Calibri" w:cs="Times New Roman"/>
                <w:color w:val="000000"/>
              </w:rPr>
              <w:t xml:space="preserve"> en dollars</w:t>
            </w:r>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xml:space="preserve">                à </w:t>
            </w:r>
            <w:proofErr w:type="spellStart"/>
            <w:r w:rsidRPr="001106CA">
              <w:rPr>
                <w:rFonts w:ascii="Calibri" w:eastAsia="Times New Roman" w:hAnsi="Calibri" w:cs="Times New Roman"/>
                <w:color w:val="000000"/>
              </w:rPr>
              <w:t>vue</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18,592.91</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28,606.84</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32,480.49</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34,881.05</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35,806.30</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xml:space="preserve">                </w:t>
            </w:r>
            <w:proofErr w:type="spellStart"/>
            <w:r w:rsidRPr="001106CA">
              <w:rPr>
                <w:rFonts w:ascii="Calibri" w:eastAsia="Times New Roman" w:hAnsi="Calibri" w:cs="Times New Roman"/>
                <w:color w:val="000000"/>
              </w:rPr>
              <w:t>d'épargne</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16,830.41</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20,501.51</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24,483.50</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26,269.56</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27,514.39</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xml:space="preserve">                 à </w:t>
            </w:r>
            <w:proofErr w:type="spellStart"/>
            <w:r w:rsidRPr="001106CA">
              <w:rPr>
                <w:rFonts w:ascii="Calibri" w:eastAsia="Times New Roman" w:hAnsi="Calibri" w:cs="Times New Roman"/>
                <w:color w:val="000000"/>
              </w:rPr>
              <w:t>terme</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12,741.32</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11,246.76</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11,795.53</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12,623.23</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12,727.10</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proofErr w:type="spellStart"/>
            <w:r w:rsidRPr="001106CA">
              <w:rPr>
                <w:rFonts w:ascii="Calibri" w:eastAsia="Times New Roman" w:hAnsi="Calibri" w:cs="Times New Roman"/>
                <w:color w:val="000000"/>
              </w:rPr>
              <w:t>Dépôts</w:t>
            </w:r>
            <w:proofErr w:type="spellEnd"/>
            <w:r w:rsidRPr="001106CA">
              <w:rPr>
                <w:rFonts w:ascii="Calibri" w:eastAsia="Times New Roman" w:hAnsi="Calibri" w:cs="Times New Roman"/>
                <w:color w:val="000000"/>
              </w:rPr>
              <w:t xml:space="preserve"> </w:t>
            </w:r>
            <w:proofErr w:type="spellStart"/>
            <w:r w:rsidRPr="001106CA">
              <w:rPr>
                <w:rFonts w:ascii="Calibri" w:eastAsia="Times New Roman" w:hAnsi="Calibri" w:cs="Times New Roman"/>
                <w:color w:val="000000"/>
              </w:rPr>
              <w:t>totaux</w:t>
            </w:r>
            <w:proofErr w:type="spellEnd"/>
            <w:r w:rsidRPr="001106CA">
              <w:rPr>
                <w:rFonts w:ascii="Calibri" w:eastAsia="Times New Roman" w:hAnsi="Calibri" w:cs="Times New Roman"/>
                <w:color w:val="000000"/>
              </w:rPr>
              <w:t xml:space="preserve"> en dollars</w:t>
            </w:r>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48,164.64</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60,355.11</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68,759.52</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73,773.84</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76,047.79</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proofErr w:type="spellStart"/>
            <w:r w:rsidRPr="001106CA">
              <w:rPr>
                <w:rFonts w:ascii="Calibri" w:eastAsia="Times New Roman" w:hAnsi="Calibri" w:cs="Times New Roman"/>
                <w:color w:val="000000"/>
              </w:rPr>
              <w:t>Liquidité</w:t>
            </w:r>
            <w:proofErr w:type="spellEnd"/>
            <w:r w:rsidRPr="001106CA">
              <w:rPr>
                <w:rFonts w:ascii="Calibri" w:eastAsia="Times New Roman" w:hAnsi="Calibri" w:cs="Times New Roman"/>
                <w:color w:val="000000"/>
              </w:rPr>
              <w:t xml:space="preserve"> (M3)</w:t>
            </w:r>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103,011.45</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126,421.40</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140,002.09</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150,851.20</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154,048.51</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lang w:val="fr-FR"/>
              </w:rPr>
            </w:pPr>
            <w:r w:rsidRPr="001106CA">
              <w:rPr>
                <w:rFonts w:ascii="Calibri" w:eastAsia="Times New Roman" w:hAnsi="Calibri" w:cs="Times New Roman"/>
                <w:color w:val="000000"/>
                <w:lang w:val="fr-FR"/>
              </w:rPr>
              <w:t>BRH- Réserves nettes de change</w:t>
            </w:r>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24,046.64</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64,168.79</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72,469.47</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87,474.28</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79,147.70</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lang w:val="fr-FR"/>
              </w:rPr>
            </w:pPr>
            <w:r w:rsidRPr="001106CA">
              <w:rPr>
                <w:rFonts w:ascii="Calibri" w:eastAsia="Times New Roman" w:hAnsi="Calibri" w:cs="Times New Roman"/>
                <w:color w:val="000000"/>
                <w:lang w:val="fr-FR"/>
              </w:rPr>
              <w:t>Réserves de change du système</w:t>
            </w:r>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40,583.86</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92,250.60</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104,580.97</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116,015.00</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103,383.64</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proofErr w:type="spellStart"/>
            <w:r w:rsidRPr="001106CA">
              <w:rPr>
                <w:rFonts w:ascii="Calibri" w:eastAsia="Times New Roman" w:hAnsi="Calibri" w:cs="Times New Roman"/>
                <w:color w:val="000000"/>
              </w:rPr>
              <w:t>Crédit</w:t>
            </w:r>
            <w:proofErr w:type="spellEnd"/>
            <w:r w:rsidRPr="001106CA">
              <w:rPr>
                <w:rFonts w:ascii="Calibri" w:eastAsia="Times New Roman" w:hAnsi="Calibri" w:cs="Times New Roman"/>
                <w:color w:val="000000"/>
              </w:rPr>
              <w:t xml:space="preserve">  en </w:t>
            </w:r>
            <w:proofErr w:type="spellStart"/>
            <w:r w:rsidRPr="001106CA">
              <w:rPr>
                <w:rFonts w:ascii="Calibri" w:eastAsia="Times New Roman" w:hAnsi="Calibri" w:cs="Times New Roman"/>
                <w:color w:val="000000"/>
              </w:rPr>
              <w:t>gourdes</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xml:space="preserve">     </w:t>
            </w:r>
            <w:proofErr w:type="spellStart"/>
            <w:r w:rsidRPr="001106CA">
              <w:rPr>
                <w:rFonts w:ascii="Calibri" w:eastAsia="Times New Roman" w:hAnsi="Calibri" w:cs="Times New Roman"/>
                <w:color w:val="000000"/>
              </w:rPr>
              <w:t>Crédit</w:t>
            </w:r>
            <w:proofErr w:type="spellEnd"/>
            <w:r w:rsidRPr="001106CA">
              <w:rPr>
                <w:rFonts w:ascii="Calibri" w:eastAsia="Times New Roman" w:hAnsi="Calibri" w:cs="Times New Roman"/>
                <w:color w:val="000000"/>
              </w:rPr>
              <w:t xml:space="preserve"> brut</w:t>
            </w:r>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19,205.66</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21,707.70</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28,086.07</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38,047.61</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44,984.16</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xml:space="preserve">     </w:t>
            </w:r>
            <w:proofErr w:type="spellStart"/>
            <w:r w:rsidRPr="001106CA">
              <w:rPr>
                <w:rFonts w:ascii="Calibri" w:eastAsia="Times New Roman" w:hAnsi="Calibri" w:cs="Times New Roman"/>
                <w:color w:val="000000"/>
              </w:rPr>
              <w:t>Crédit</w:t>
            </w:r>
            <w:proofErr w:type="spellEnd"/>
            <w:r w:rsidRPr="001106CA">
              <w:rPr>
                <w:rFonts w:ascii="Calibri" w:eastAsia="Times New Roman" w:hAnsi="Calibri" w:cs="Times New Roman"/>
                <w:color w:val="000000"/>
              </w:rPr>
              <w:t xml:space="preserve"> net</w:t>
            </w:r>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10,346.90</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11,732.30</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17,142.30</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25,059.81</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29,488.23</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(mars)</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proofErr w:type="spellStart"/>
            <w:r w:rsidRPr="001106CA">
              <w:rPr>
                <w:rFonts w:ascii="Calibri" w:eastAsia="Times New Roman" w:hAnsi="Calibri" w:cs="Times New Roman"/>
                <w:color w:val="000000"/>
              </w:rPr>
              <w:t>Crédit</w:t>
            </w:r>
            <w:proofErr w:type="spellEnd"/>
            <w:r w:rsidRPr="001106CA">
              <w:rPr>
                <w:rFonts w:ascii="Calibri" w:eastAsia="Times New Roman" w:hAnsi="Calibri" w:cs="Times New Roman"/>
                <w:color w:val="000000"/>
              </w:rPr>
              <w:t xml:space="preserve">  en dollars</w:t>
            </w:r>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xml:space="preserve">     </w:t>
            </w:r>
            <w:proofErr w:type="spellStart"/>
            <w:r w:rsidRPr="001106CA">
              <w:rPr>
                <w:rFonts w:ascii="Calibri" w:eastAsia="Times New Roman" w:hAnsi="Calibri" w:cs="Times New Roman"/>
                <w:color w:val="000000"/>
              </w:rPr>
              <w:t>Crédit</w:t>
            </w:r>
            <w:proofErr w:type="spellEnd"/>
            <w:r w:rsidRPr="001106CA">
              <w:rPr>
                <w:rFonts w:ascii="Calibri" w:eastAsia="Times New Roman" w:hAnsi="Calibri" w:cs="Times New Roman"/>
                <w:color w:val="000000"/>
              </w:rPr>
              <w:t xml:space="preserve"> brut</w:t>
            </w:r>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23,795.98</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18,877.38</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22,439.58</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27,525.09</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27,708.57</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xml:space="preserve">     </w:t>
            </w:r>
            <w:proofErr w:type="spellStart"/>
            <w:r w:rsidRPr="001106CA">
              <w:rPr>
                <w:rFonts w:ascii="Calibri" w:eastAsia="Times New Roman" w:hAnsi="Calibri" w:cs="Times New Roman"/>
                <w:color w:val="000000"/>
              </w:rPr>
              <w:t>Crédit</w:t>
            </w:r>
            <w:proofErr w:type="spellEnd"/>
            <w:r w:rsidRPr="001106CA">
              <w:rPr>
                <w:rFonts w:ascii="Calibri" w:eastAsia="Times New Roman" w:hAnsi="Calibri" w:cs="Times New Roman"/>
                <w:color w:val="000000"/>
              </w:rPr>
              <w:t xml:space="preserve"> net</w:t>
            </w:r>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22,968.28</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17,698.41</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21,555.00</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26,800.36</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26,967.08</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(mars)</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lang w:val="fr-FR"/>
              </w:rPr>
            </w:pPr>
            <w:r w:rsidRPr="001106CA">
              <w:rPr>
                <w:rFonts w:ascii="Calibri" w:eastAsia="Times New Roman" w:hAnsi="Calibri" w:cs="Times New Roman"/>
                <w:color w:val="000000"/>
                <w:lang w:val="fr-FR"/>
              </w:rPr>
              <w:t>Crédit brut total en gourdes</w:t>
            </w:r>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43,001.64</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40,585.08</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50,525.65</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65,572.70</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72,692.73</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lang w:val="fr-FR"/>
              </w:rPr>
            </w:pPr>
            <w:r w:rsidRPr="001106CA">
              <w:rPr>
                <w:rFonts w:ascii="Calibri" w:eastAsia="Times New Roman" w:hAnsi="Calibri" w:cs="Times New Roman"/>
                <w:color w:val="000000"/>
                <w:lang w:val="fr-FR"/>
              </w:rPr>
              <w:t xml:space="preserve">Crédit net total en gourdes </w:t>
            </w:r>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33,315.18</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29,430.71</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38,697.30</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51,860.17</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56,455.31</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(mars)</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xml:space="preserve">Placement à </w:t>
            </w:r>
            <w:proofErr w:type="spellStart"/>
            <w:r w:rsidRPr="001106CA">
              <w:rPr>
                <w:rFonts w:ascii="Calibri" w:eastAsia="Times New Roman" w:hAnsi="Calibri" w:cs="Times New Roman"/>
                <w:color w:val="000000"/>
              </w:rPr>
              <w:t>l'étranger</w:t>
            </w:r>
            <w:proofErr w:type="spellEnd"/>
            <w:r w:rsidRPr="001106CA">
              <w:rPr>
                <w:rFonts w:ascii="Calibri" w:eastAsia="Times New Roman" w:hAnsi="Calibri" w:cs="Times New Roman"/>
                <w:color w:val="00000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27,927.98</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34,578.17</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52,857.34</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64,722.29</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71,493.50</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(mars)</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proofErr w:type="spellStart"/>
            <w:r w:rsidRPr="001106CA">
              <w:rPr>
                <w:rFonts w:ascii="Calibri" w:eastAsia="Times New Roman" w:hAnsi="Calibri" w:cs="Times New Roman"/>
                <w:color w:val="000000"/>
              </w:rPr>
              <w:t>Bons</w:t>
            </w:r>
            <w:proofErr w:type="spellEnd"/>
            <w:r w:rsidRPr="001106CA">
              <w:rPr>
                <w:rFonts w:ascii="Calibri" w:eastAsia="Times New Roman" w:hAnsi="Calibri" w:cs="Times New Roman"/>
                <w:color w:val="000000"/>
              </w:rPr>
              <w:t xml:space="preserve"> BRH</w:t>
            </w:r>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9,552.00</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9,249.00</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6,328.00</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6,269.00</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6,530.00</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proofErr w:type="spellStart"/>
            <w:r w:rsidRPr="001106CA">
              <w:rPr>
                <w:rFonts w:ascii="Calibri" w:eastAsia="Times New Roman" w:hAnsi="Calibri" w:cs="Times New Roman"/>
                <w:color w:val="000000"/>
              </w:rPr>
              <w:t>Réserves</w:t>
            </w:r>
            <w:proofErr w:type="spellEnd"/>
            <w:r w:rsidRPr="001106CA">
              <w:rPr>
                <w:rFonts w:ascii="Calibri" w:eastAsia="Times New Roman" w:hAnsi="Calibri" w:cs="Times New Roman"/>
                <w:color w:val="000000"/>
              </w:rPr>
              <w:t xml:space="preserve"> </w:t>
            </w:r>
            <w:proofErr w:type="spellStart"/>
            <w:r w:rsidRPr="001106CA">
              <w:rPr>
                <w:rFonts w:ascii="Calibri" w:eastAsia="Times New Roman" w:hAnsi="Calibri" w:cs="Times New Roman"/>
                <w:color w:val="000000"/>
              </w:rPr>
              <w:t>obligatoires</w:t>
            </w:r>
            <w:proofErr w:type="spellEnd"/>
            <w:r w:rsidRPr="001106CA">
              <w:rPr>
                <w:rFonts w:ascii="Calibri" w:eastAsia="Times New Roman" w:hAnsi="Calibri" w:cs="Times New Roman"/>
                <w:color w:val="000000"/>
              </w:rPr>
              <w:t>(Total)</w:t>
            </w:r>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26,657.60</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45,132.96</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50,750.28</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54,214.41</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53460.53</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(mars)</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xml:space="preserve">                                   en </w:t>
            </w:r>
            <w:proofErr w:type="spellStart"/>
            <w:r w:rsidRPr="001106CA">
              <w:rPr>
                <w:rFonts w:ascii="Calibri" w:eastAsia="Times New Roman" w:hAnsi="Calibri" w:cs="Times New Roman"/>
                <w:color w:val="000000"/>
              </w:rPr>
              <w:t>gourdes</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15,526.10</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20,431.65</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21,947.54</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17,334.35</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16,905.76</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xml:space="preserve">                                   en dollars</w:t>
            </w:r>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11,131.50</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24,701.31</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28,802.74</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36,880.06</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36,554.77</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r>
      <w:tr w:rsidR="001106CA" w:rsidRPr="001106CA" w:rsidTr="001106C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lang w:val="fr-FR"/>
              </w:rPr>
            </w:pPr>
            <w:r w:rsidRPr="001106CA">
              <w:rPr>
                <w:rFonts w:ascii="Calibri" w:eastAsia="Times New Roman" w:hAnsi="Calibri" w:cs="Times New Roman"/>
                <w:color w:val="000000"/>
                <w:lang w:val="fr-FR"/>
              </w:rPr>
              <w:t>Taux de change/Fin de période</w:t>
            </w:r>
          </w:p>
        </w:tc>
        <w:tc>
          <w:tcPr>
            <w:tcW w:w="108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41.7737</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39.9405</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40.8720</w:t>
            </w:r>
          </w:p>
        </w:tc>
        <w:tc>
          <w:tcPr>
            <w:tcW w:w="10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42.3222</w:t>
            </w:r>
          </w:p>
        </w:tc>
        <w:tc>
          <w:tcPr>
            <w:tcW w:w="1273"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jc w:val="right"/>
              <w:rPr>
                <w:rFonts w:ascii="Calibri" w:eastAsia="Times New Roman" w:hAnsi="Calibri" w:cs="Times New Roman"/>
                <w:color w:val="000000"/>
              </w:rPr>
            </w:pPr>
            <w:r w:rsidRPr="001106CA">
              <w:rPr>
                <w:rFonts w:ascii="Calibri" w:eastAsia="Times New Roman" w:hAnsi="Calibri" w:cs="Times New Roman"/>
                <w:color w:val="000000"/>
              </w:rPr>
              <w:t>43.6803</w:t>
            </w:r>
          </w:p>
        </w:tc>
        <w:tc>
          <w:tcPr>
            <w:tcW w:w="960" w:type="dxa"/>
            <w:tcBorders>
              <w:top w:val="nil"/>
              <w:left w:val="nil"/>
              <w:bottom w:val="single" w:sz="4" w:space="0" w:color="auto"/>
              <w:right w:val="single" w:sz="4" w:space="0" w:color="auto"/>
            </w:tcBorders>
            <w:shd w:val="clear" w:color="auto" w:fill="auto"/>
            <w:noWrap/>
            <w:vAlign w:val="bottom"/>
            <w:hideMark/>
          </w:tcPr>
          <w:p w:rsidR="001106CA" w:rsidRPr="001106CA" w:rsidRDefault="001106CA" w:rsidP="001106CA">
            <w:pPr>
              <w:spacing w:after="0" w:line="240" w:lineRule="auto"/>
              <w:rPr>
                <w:rFonts w:ascii="Calibri" w:eastAsia="Times New Roman" w:hAnsi="Calibri" w:cs="Times New Roman"/>
                <w:color w:val="000000"/>
              </w:rPr>
            </w:pPr>
            <w:r w:rsidRPr="001106CA">
              <w:rPr>
                <w:rFonts w:ascii="Calibri" w:eastAsia="Times New Roman" w:hAnsi="Calibri" w:cs="Times New Roman"/>
                <w:color w:val="000000"/>
              </w:rPr>
              <w:t> </w:t>
            </w:r>
          </w:p>
        </w:tc>
      </w:tr>
    </w:tbl>
    <w:p w:rsidR="001106CA" w:rsidRPr="001106CA" w:rsidRDefault="001106CA" w:rsidP="001106CA">
      <w:pPr>
        <w:jc w:val="center"/>
        <w:rPr>
          <w:rFonts w:ascii="Arial" w:hAnsi="Arial" w:cs="Arial"/>
          <w:b/>
          <w:sz w:val="24"/>
          <w:szCs w:val="24"/>
          <w:lang w:val="fr-FR"/>
        </w:rPr>
      </w:pPr>
    </w:p>
    <w:p w:rsidR="00BA3C8E" w:rsidRDefault="00BA3C8E" w:rsidP="00BA3C8E">
      <w:pPr>
        <w:jc w:val="both"/>
        <w:rPr>
          <w:rFonts w:ascii="Arial" w:hAnsi="Arial" w:cs="Arial"/>
          <w:sz w:val="24"/>
          <w:szCs w:val="24"/>
          <w:lang w:val="fr-FR"/>
        </w:rPr>
      </w:pPr>
    </w:p>
    <w:p w:rsidR="00BA3C8E" w:rsidRPr="00BA3C8E" w:rsidRDefault="00BA3C8E" w:rsidP="00BA3C8E">
      <w:pPr>
        <w:jc w:val="both"/>
        <w:rPr>
          <w:rFonts w:ascii="Arial" w:hAnsi="Arial" w:cs="Arial"/>
          <w:sz w:val="24"/>
          <w:szCs w:val="24"/>
          <w:lang w:val="fr-FR"/>
        </w:rPr>
      </w:pPr>
    </w:p>
    <w:p w:rsidR="00637A96" w:rsidRDefault="00637A96" w:rsidP="00DD42EA">
      <w:pPr>
        <w:jc w:val="both"/>
        <w:rPr>
          <w:rFonts w:ascii="Arial" w:hAnsi="Arial" w:cs="Arial"/>
          <w:sz w:val="24"/>
          <w:szCs w:val="24"/>
          <w:lang w:val="fr-FR"/>
        </w:rPr>
      </w:pPr>
    </w:p>
    <w:p w:rsidR="00637A96" w:rsidRDefault="00637A96" w:rsidP="00DD42EA">
      <w:pPr>
        <w:jc w:val="both"/>
        <w:rPr>
          <w:rFonts w:ascii="Arial" w:hAnsi="Arial" w:cs="Arial"/>
          <w:sz w:val="24"/>
          <w:szCs w:val="24"/>
          <w:lang w:val="fr-FR"/>
        </w:rPr>
      </w:pPr>
    </w:p>
    <w:sectPr w:rsidR="00637A96" w:rsidSect="001827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A96" w:rsidRDefault="00637A96" w:rsidP="00637A96">
      <w:pPr>
        <w:spacing w:after="0" w:line="240" w:lineRule="auto"/>
      </w:pPr>
      <w:r>
        <w:separator/>
      </w:r>
    </w:p>
  </w:endnote>
  <w:endnote w:type="continuationSeparator" w:id="1">
    <w:p w:rsidR="00637A96" w:rsidRDefault="00637A96" w:rsidP="00637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25" w:rsidRDefault="000817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25" w:rsidRDefault="000817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25" w:rsidRDefault="00081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A96" w:rsidRDefault="00637A96" w:rsidP="00637A96">
      <w:pPr>
        <w:spacing w:after="0" w:line="240" w:lineRule="auto"/>
      </w:pPr>
      <w:r>
        <w:separator/>
      </w:r>
    </w:p>
  </w:footnote>
  <w:footnote w:type="continuationSeparator" w:id="1">
    <w:p w:rsidR="00637A96" w:rsidRDefault="00637A96" w:rsidP="00637A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25" w:rsidRDefault="000817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25" w:rsidRPr="00081725" w:rsidRDefault="00081725" w:rsidP="00081725">
    <w:pPr>
      <w:pStyle w:val="Header"/>
      <w:jc w:val="center"/>
      <w:rPr>
        <w:b/>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725" w:rsidRDefault="000817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1A1"/>
    <w:multiLevelType w:val="hybridMultilevel"/>
    <w:tmpl w:val="21367D92"/>
    <w:lvl w:ilvl="0" w:tplc="40C64A2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C69B9"/>
    <w:multiLevelType w:val="hybridMultilevel"/>
    <w:tmpl w:val="1CE28248"/>
    <w:lvl w:ilvl="0" w:tplc="17348C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B0B74"/>
    <w:multiLevelType w:val="hybridMultilevel"/>
    <w:tmpl w:val="1E0892B8"/>
    <w:lvl w:ilvl="0" w:tplc="17348C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91309"/>
    <w:multiLevelType w:val="hybridMultilevel"/>
    <w:tmpl w:val="5D447394"/>
    <w:lvl w:ilvl="0" w:tplc="FB7A31B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0028A"/>
    <w:multiLevelType w:val="hybridMultilevel"/>
    <w:tmpl w:val="1390CEAA"/>
    <w:lvl w:ilvl="0" w:tplc="CD083E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504394"/>
    <w:multiLevelType w:val="hybridMultilevel"/>
    <w:tmpl w:val="273A4A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527F2A"/>
    <w:multiLevelType w:val="hybridMultilevel"/>
    <w:tmpl w:val="82D6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914F5F"/>
    <w:multiLevelType w:val="hybridMultilevel"/>
    <w:tmpl w:val="87369528"/>
    <w:lvl w:ilvl="0" w:tplc="17348C0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D42EA"/>
    <w:rsid w:val="00021109"/>
    <w:rsid w:val="000222B7"/>
    <w:rsid w:val="00081725"/>
    <w:rsid w:val="000E3508"/>
    <w:rsid w:val="000E754D"/>
    <w:rsid w:val="001106CA"/>
    <w:rsid w:val="00122518"/>
    <w:rsid w:val="00144389"/>
    <w:rsid w:val="00144EDB"/>
    <w:rsid w:val="00146045"/>
    <w:rsid w:val="00156333"/>
    <w:rsid w:val="00182764"/>
    <w:rsid w:val="001867E2"/>
    <w:rsid w:val="002B2ACB"/>
    <w:rsid w:val="00300E5A"/>
    <w:rsid w:val="0030241A"/>
    <w:rsid w:val="003F298B"/>
    <w:rsid w:val="0047403D"/>
    <w:rsid w:val="00480A9F"/>
    <w:rsid w:val="004829C7"/>
    <w:rsid w:val="0052093C"/>
    <w:rsid w:val="00542B91"/>
    <w:rsid w:val="005A5416"/>
    <w:rsid w:val="005C2A45"/>
    <w:rsid w:val="00637A96"/>
    <w:rsid w:val="00641EE5"/>
    <w:rsid w:val="006C7404"/>
    <w:rsid w:val="007228D4"/>
    <w:rsid w:val="007B3D00"/>
    <w:rsid w:val="0084372E"/>
    <w:rsid w:val="0086670F"/>
    <w:rsid w:val="0089513E"/>
    <w:rsid w:val="008C0A23"/>
    <w:rsid w:val="00947997"/>
    <w:rsid w:val="00A47814"/>
    <w:rsid w:val="00AB7C82"/>
    <w:rsid w:val="00B12A22"/>
    <w:rsid w:val="00BA3C8E"/>
    <w:rsid w:val="00D70441"/>
    <w:rsid w:val="00DD42EA"/>
    <w:rsid w:val="00DF655A"/>
    <w:rsid w:val="00E00A73"/>
    <w:rsid w:val="00E34100"/>
    <w:rsid w:val="00E54C69"/>
    <w:rsid w:val="00E7058C"/>
    <w:rsid w:val="00E913A6"/>
    <w:rsid w:val="00E97AFF"/>
    <w:rsid w:val="00ED0F46"/>
    <w:rsid w:val="00EF1BCF"/>
    <w:rsid w:val="00F469B2"/>
    <w:rsid w:val="00F64E8F"/>
    <w:rsid w:val="00FE3F8E"/>
    <w:rsid w:val="00FE7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37A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7A96"/>
    <w:rPr>
      <w:sz w:val="20"/>
      <w:szCs w:val="20"/>
    </w:rPr>
  </w:style>
  <w:style w:type="character" w:styleId="EndnoteReference">
    <w:name w:val="endnote reference"/>
    <w:basedOn w:val="DefaultParagraphFont"/>
    <w:uiPriority w:val="99"/>
    <w:semiHidden/>
    <w:unhideWhenUsed/>
    <w:rsid w:val="00637A96"/>
    <w:rPr>
      <w:vertAlign w:val="superscript"/>
    </w:rPr>
  </w:style>
  <w:style w:type="paragraph" w:styleId="ListParagraph">
    <w:name w:val="List Paragraph"/>
    <w:basedOn w:val="Normal"/>
    <w:uiPriority w:val="34"/>
    <w:qFormat/>
    <w:rsid w:val="00BA3C8E"/>
    <w:pPr>
      <w:ind w:left="720"/>
      <w:contextualSpacing/>
    </w:pPr>
  </w:style>
  <w:style w:type="paragraph" w:styleId="NoSpacing">
    <w:name w:val="No Spacing"/>
    <w:uiPriority w:val="1"/>
    <w:qFormat/>
    <w:rsid w:val="00BA3C8E"/>
    <w:pPr>
      <w:spacing w:after="0" w:line="240" w:lineRule="auto"/>
    </w:pPr>
  </w:style>
  <w:style w:type="paragraph" w:styleId="Header">
    <w:name w:val="header"/>
    <w:basedOn w:val="Normal"/>
    <w:link w:val="HeaderChar"/>
    <w:uiPriority w:val="99"/>
    <w:semiHidden/>
    <w:unhideWhenUsed/>
    <w:rsid w:val="000817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1725"/>
  </w:style>
  <w:style w:type="paragraph" w:styleId="Footer">
    <w:name w:val="footer"/>
    <w:basedOn w:val="Normal"/>
    <w:link w:val="FooterChar"/>
    <w:uiPriority w:val="99"/>
    <w:semiHidden/>
    <w:unhideWhenUsed/>
    <w:rsid w:val="000817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1725"/>
  </w:style>
</w:styles>
</file>

<file path=word/webSettings.xml><?xml version="1.0" encoding="utf-8"?>
<w:webSettings xmlns:r="http://schemas.openxmlformats.org/officeDocument/2006/relationships" xmlns:w="http://schemas.openxmlformats.org/wordprocessingml/2006/main">
  <w:divs>
    <w:div w:id="741102953">
      <w:bodyDiv w:val="1"/>
      <w:marLeft w:val="0"/>
      <w:marRight w:val="0"/>
      <w:marTop w:val="0"/>
      <w:marBottom w:val="0"/>
      <w:divBdr>
        <w:top w:val="none" w:sz="0" w:space="0" w:color="auto"/>
        <w:left w:val="none" w:sz="0" w:space="0" w:color="auto"/>
        <w:bottom w:val="none" w:sz="0" w:space="0" w:color="auto"/>
        <w:right w:val="none" w:sz="0" w:space="0" w:color="auto"/>
      </w:divBdr>
    </w:div>
    <w:div w:id="13199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C7385-3F09-4D2E-8319-D96D4F8B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dc:creator>
  <cp:keywords/>
  <dc:description/>
  <cp:lastModifiedBy>salle conference</cp:lastModifiedBy>
  <cp:revision>12</cp:revision>
  <cp:lastPrinted>2013-08-07T15:59:00Z</cp:lastPrinted>
  <dcterms:created xsi:type="dcterms:W3CDTF">2013-08-06T14:52:00Z</dcterms:created>
  <dcterms:modified xsi:type="dcterms:W3CDTF">2013-08-07T16:10:00Z</dcterms:modified>
</cp:coreProperties>
</file>