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340782"/>
        <w:docPartObj>
          <w:docPartGallery w:val="Cover Pages"/>
          <w:docPartUnique/>
        </w:docPartObj>
      </w:sdtPr>
      <w:sdtEndPr>
        <w:rPr>
          <w:rFonts w:ascii="Times New Roman" w:hAnsi="Times New Roman" w:cs="Times New Roman"/>
          <w:b/>
          <w:sz w:val="28"/>
          <w:szCs w:val="28"/>
        </w:rPr>
      </w:sdtEndPr>
      <w:sdtContent>
        <w:p w:rsidR="00937D82" w:rsidRDefault="0084358A" w:rsidP="00937D82">
          <w:pPr>
            <w:jc w:val="cente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-38100</wp:posOffset>
                    </wp:positionH>
                    <wp:positionV relativeFrom="paragraph">
                      <wp:posOffset>228600</wp:posOffset>
                    </wp:positionV>
                    <wp:extent cx="6553200" cy="8715375"/>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8715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EEFD3" id="Rectangle 2" o:spid="_x0000_s1026" style="position:absolute;margin-left:-3pt;margin-top:18pt;width:516pt;height:68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" filled="f"/>
                </w:pict>
              </mc:Fallback>
            </mc:AlternateContent>
          </w:r>
        </w:p>
        <w:p w:rsidR="00937D82" w:rsidRDefault="00937D82"/>
        <w:tbl>
          <w:tblPr>
            <w:tblpPr w:leftFromText="187" w:rightFromText="187" w:horzAnchor="margin" w:tblpXSpec="center" w:tblpYSpec="bottom"/>
            <w:tblW w:w="4000" w:type="pct"/>
            <w:tblLook w:val="04A0" w:firstRow="1" w:lastRow="0" w:firstColumn="1" w:lastColumn="0" w:noHBand="0" w:noVBand="1"/>
          </w:tblPr>
          <w:tblGrid>
            <w:gridCol w:w="8320"/>
          </w:tblGrid>
          <w:tr w:rsidR="00937D82" w:rsidRPr="00937D82" w:rsidTr="00937D82">
            <w:tc>
              <w:tcPr>
                <w:tcW w:w="8248" w:type="dxa"/>
                <w:tcMar>
                  <w:top w:w="216" w:type="dxa"/>
                  <w:left w:w="115" w:type="dxa"/>
                  <w:bottom w:w="216" w:type="dxa"/>
                  <w:right w:w="115" w:type="dxa"/>
                </w:tcMar>
              </w:tcPr>
              <w:sdt>
                <w:sdtPr>
                  <w:rPr>
                    <w:rFonts w:ascii="Times New Roman" w:hAnsi="Times New Roman" w:cs="Times New Roman"/>
                    <w:sz w:val="36"/>
                    <w:szCs w:val="36"/>
                    <w:lang w:val="fr-FR"/>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rsidR="00937D82" w:rsidRPr="00EB3CCD" w:rsidRDefault="00EB3CCD" w:rsidP="00EB3CCD">
                    <w:pPr>
                      <w:pStyle w:val="NoSpacing"/>
                      <w:jc w:val="right"/>
                      <w:rPr>
                        <w:color w:val="4F81BD" w:themeColor="accent1"/>
                        <w:lang w:val="fr-FR"/>
                      </w:rPr>
                    </w:pPr>
                    <w:r w:rsidRPr="00A516FA">
                      <w:rPr>
                        <w:rFonts w:ascii="Times New Roman" w:hAnsi="Times New Roman" w:cs="Times New Roman"/>
                        <w:sz w:val="36"/>
                        <w:szCs w:val="36"/>
                        <w:lang w:val="fr-FR"/>
                      </w:rPr>
                      <w:t>Préparé par la Direction Exécutive de l’APB</w:t>
                    </w:r>
                  </w:p>
                </w:sdtContent>
              </w:sdt>
              <w:p w:rsidR="00937D82" w:rsidRPr="00B270E7" w:rsidRDefault="00937D82">
                <w:pPr>
                  <w:pStyle w:val="NoSpacing"/>
                  <w:rPr>
                    <w:color w:val="4F81BD" w:themeColor="accent1"/>
                    <w:lang w:val="fr-FR"/>
                  </w:rPr>
                </w:pPr>
              </w:p>
              <w:p w:rsidR="00937D82" w:rsidRPr="00B270E7" w:rsidRDefault="00937D82">
                <w:pPr>
                  <w:pStyle w:val="NoSpacing"/>
                  <w:rPr>
                    <w:color w:val="4F81BD" w:themeColor="accent1"/>
                    <w:lang w:val="fr-FR"/>
                  </w:rPr>
                </w:pPr>
              </w:p>
            </w:tc>
          </w:tr>
        </w:tbl>
        <w:p w:rsidR="00937D82" w:rsidRDefault="00937D82" w:rsidP="00937D82">
          <w:pPr>
            <w:jc w:val="center"/>
            <w:rPr>
              <w:rFonts w:asciiTheme="majorHAnsi" w:eastAsiaTheme="majorEastAsia" w:hAnsiTheme="majorHAnsi" w:cstheme="majorBidi"/>
              <w:sz w:val="40"/>
              <w:szCs w:val="40"/>
            </w:rPr>
          </w:pPr>
        </w:p>
        <w:sdt>
          <w:sdtPr>
            <w:rPr>
              <w:rFonts w:ascii="Times New Roman" w:eastAsiaTheme="majorEastAsia" w:hAnsi="Times New Roman" w:cs="Times New Roman"/>
              <w:sz w:val="40"/>
              <w:szCs w:val="40"/>
            </w:rPr>
            <w:alias w:val="Company"/>
            <w:id w:val="13406915"/>
            <w:dataBinding w:prefixMappings="xmlns:ns0='http://schemas.openxmlformats.org/officeDocument/2006/extended-properties'" w:xpath="/ns0:Properties[1]/ns0:Company[1]" w:storeItemID="{6668398D-A668-4E3E-A5EB-62B293D839F1}"/>
            <w:text/>
          </w:sdtPr>
          <w:sdtEndPr/>
          <w:sdtContent>
            <w:p w:rsidR="007E68CE" w:rsidRDefault="007E68CE" w:rsidP="007E68CE">
              <w:pPr>
                <w:jc w:val="center"/>
                <w:rPr>
                  <w:rFonts w:ascii="Times New Roman" w:eastAsiaTheme="majorEastAsia" w:hAnsi="Times New Roman" w:cs="Times New Roman"/>
                  <w:sz w:val="40"/>
                  <w:szCs w:val="40"/>
                </w:rPr>
              </w:pPr>
              <w:r w:rsidRPr="00EB3CCD">
                <w:rPr>
                  <w:rFonts w:ascii="Times New Roman" w:eastAsiaTheme="majorEastAsia" w:hAnsi="Times New Roman" w:cs="Times New Roman"/>
                  <w:sz w:val="40"/>
                  <w:szCs w:val="40"/>
                </w:rPr>
                <w:t>ASSOCIATION PROFESSIONNELLE DE BANQUES</w:t>
              </w:r>
            </w:p>
          </w:sdtContent>
        </w:sdt>
        <w:p w:rsidR="00937D82" w:rsidRPr="00B270E7" w:rsidRDefault="00937D82" w:rsidP="00ED4B0B">
          <w:pPr>
            <w:jc w:val="center"/>
          </w:pPr>
        </w:p>
        <w:p w:rsidR="009C703D" w:rsidRDefault="009C703D" w:rsidP="009C703D">
          <w:pPr>
            <w:jc w:val="center"/>
            <w:rPr>
              <w:rFonts w:ascii="Times New Roman" w:eastAsiaTheme="majorEastAsia" w:hAnsi="Times New Roman" w:cs="Times New Roman"/>
              <w:sz w:val="40"/>
              <w:szCs w:val="40"/>
            </w:rPr>
          </w:pPr>
        </w:p>
        <w:p w:rsidR="00ED4B0B" w:rsidRPr="00B270E7" w:rsidRDefault="00ED4B0B" w:rsidP="00ED4B0B">
          <w:pPr>
            <w:jc w:val="center"/>
          </w:pPr>
        </w:p>
        <w:p w:rsidR="00ED4B0B" w:rsidRPr="00B270E7" w:rsidRDefault="00ED4B0B" w:rsidP="00ED4B0B">
          <w:pPr>
            <w:jc w:val="center"/>
          </w:pPr>
        </w:p>
        <w:p w:rsidR="007E68CE" w:rsidRPr="00B270E7" w:rsidRDefault="007E68CE" w:rsidP="00ED4B0B">
          <w:pPr>
            <w:jc w:val="center"/>
          </w:pPr>
        </w:p>
        <w:p w:rsidR="00ED4B0B" w:rsidRPr="00B270E7" w:rsidRDefault="00ED4B0B" w:rsidP="00ED4B0B">
          <w:pPr>
            <w:jc w:val="center"/>
          </w:pPr>
        </w:p>
        <w:p w:rsidR="00ED4B0B" w:rsidRPr="00B270E7" w:rsidRDefault="00ED4B0B" w:rsidP="00ED4B0B">
          <w:pPr>
            <w:jc w:val="center"/>
          </w:pPr>
        </w:p>
        <w:p w:rsidR="00A530DD" w:rsidRPr="00B270E7" w:rsidRDefault="00A530DD" w:rsidP="00ED4B0B">
          <w:pPr>
            <w:jc w:val="center"/>
            <w:rPr>
              <w:rFonts w:ascii="Times New Roman" w:hAnsi="Times New Roman" w:cs="Times New Roman"/>
              <w:sz w:val="52"/>
              <w:szCs w:val="52"/>
            </w:rPr>
          </w:pPr>
          <w:r w:rsidRPr="00B270E7">
            <w:rPr>
              <w:rFonts w:ascii="Times New Roman" w:hAnsi="Times New Roman" w:cs="Times New Roman"/>
              <w:sz w:val="52"/>
              <w:szCs w:val="52"/>
            </w:rPr>
            <w:t>RAPPORT ANNUEL 2012-2013</w:t>
          </w:r>
        </w:p>
        <w:p w:rsidR="00A530DD" w:rsidRPr="00B270E7" w:rsidRDefault="00A530DD" w:rsidP="00ED4B0B">
          <w:pPr>
            <w:jc w:val="center"/>
          </w:pPr>
        </w:p>
        <w:p w:rsidR="00937D82" w:rsidRDefault="00937D82" w:rsidP="00ED4B0B">
          <w:pPr>
            <w:rPr>
              <w:rFonts w:ascii="Times New Roman" w:hAnsi="Times New Roman" w:cs="Times New Roman"/>
              <w:b/>
              <w:sz w:val="28"/>
              <w:szCs w:val="28"/>
            </w:rPr>
          </w:pPr>
          <w:r w:rsidRPr="00B270E7">
            <w:rPr>
              <w:rFonts w:ascii="Times New Roman" w:hAnsi="Times New Roman" w:cs="Times New Roman"/>
              <w:b/>
              <w:sz w:val="28"/>
              <w:szCs w:val="28"/>
            </w:rPr>
            <w:br w:type="page"/>
          </w:r>
        </w:p>
      </w:sdtContent>
    </w:sdt>
    <w:p w:rsidR="009A68CE" w:rsidRDefault="009A68CE" w:rsidP="00A03558">
      <w:pPr>
        <w:spacing w:after="0" w:line="240" w:lineRule="auto"/>
        <w:jc w:val="center"/>
        <w:rPr>
          <w:rFonts w:ascii="Times New Roman" w:hAnsi="Times New Roman" w:cs="Times New Roman"/>
          <w:b/>
          <w:sz w:val="28"/>
          <w:szCs w:val="28"/>
        </w:rPr>
      </w:pPr>
    </w:p>
    <w:p w:rsidR="002D6C4B" w:rsidRPr="001A5F38" w:rsidRDefault="007D4368" w:rsidP="00A03558">
      <w:pPr>
        <w:spacing w:after="0" w:line="240" w:lineRule="auto"/>
        <w:jc w:val="center"/>
        <w:rPr>
          <w:rFonts w:cs="Times New Roman"/>
          <w:b/>
          <w:sz w:val="28"/>
          <w:szCs w:val="28"/>
        </w:rPr>
      </w:pPr>
      <w:r w:rsidRPr="001A5F38">
        <w:rPr>
          <w:rFonts w:cs="Times New Roman"/>
          <w:b/>
          <w:sz w:val="28"/>
          <w:szCs w:val="28"/>
        </w:rPr>
        <w:t>ASSOCIATION PROFESSIONNELLE DES BANQUES</w:t>
      </w:r>
      <w:r w:rsidR="00E27A1D" w:rsidRPr="001A5F38">
        <w:rPr>
          <w:rFonts w:cs="Times New Roman"/>
          <w:b/>
          <w:sz w:val="28"/>
          <w:szCs w:val="28"/>
        </w:rPr>
        <w:t xml:space="preserve"> (APB)</w:t>
      </w:r>
    </w:p>
    <w:p w:rsidR="00120BF4" w:rsidRPr="001A5F38" w:rsidRDefault="00A03558" w:rsidP="00A03558">
      <w:pPr>
        <w:spacing w:after="0" w:line="240" w:lineRule="auto"/>
        <w:jc w:val="center"/>
        <w:rPr>
          <w:rFonts w:cs="Times New Roman"/>
          <w:b/>
          <w:sz w:val="28"/>
          <w:szCs w:val="28"/>
        </w:rPr>
      </w:pPr>
      <w:r w:rsidRPr="001A5F38">
        <w:rPr>
          <w:rFonts w:cs="Times New Roman"/>
          <w:b/>
          <w:sz w:val="28"/>
          <w:szCs w:val="28"/>
        </w:rPr>
        <w:t>R</w:t>
      </w:r>
      <w:r w:rsidR="00120BF4" w:rsidRPr="001A5F38">
        <w:rPr>
          <w:rFonts w:cs="Times New Roman"/>
          <w:b/>
          <w:sz w:val="28"/>
          <w:szCs w:val="28"/>
        </w:rPr>
        <w:t>apport annuel 2012-2013</w:t>
      </w:r>
    </w:p>
    <w:p w:rsidR="00A03558" w:rsidRPr="001A5F38" w:rsidRDefault="00A03558" w:rsidP="00A03558">
      <w:pPr>
        <w:spacing w:after="0" w:line="240" w:lineRule="auto"/>
        <w:jc w:val="center"/>
        <w:rPr>
          <w:rFonts w:cs="Times New Roman"/>
          <w:sz w:val="26"/>
          <w:szCs w:val="26"/>
        </w:rPr>
      </w:pPr>
    </w:p>
    <w:p w:rsidR="00120BF4" w:rsidRPr="00FC650C" w:rsidRDefault="00120BF4" w:rsidP="00266EE9">
      <w:pPr>
        <w:pStyle w:val="ListParagraph"/>
        <w:numPr>
          <w:ilvl w:val="0"/>
          <w:numId w:val="1"/>
        </w:numPr>
        <w:tabs>
          <w:tab w:val="left" w:pos="8280"/>
        </w:tabs>
        <w:spacing w:after="0"/>
        <w:rPr>
          <w:rFonts w:ascii="Times New Roman" w:hAnsi="Times New Roman" w:cs="Times New Roman"/>
          <w:sz w:val="24"/>
          <w:szCs w:val="24"/>
        </w:rPr>
      </w:pPr>
      <w:r w:rsidRPr="00FC650C">
        <w:rPr>
          <w:rFonts w:ascii="Times New Roman" w:hAnsi="Times New Roman" w:cs="Times New Roman"/>
          <w:sz w:val="24"/>
          <w:szCs w:val="24"/>
        </w:rPr>
        <w:t>Faits saillants dans le domaine monétaire</w:t>
      </w:r>
      <w:r w:rsidR="001A3430">
        <w:rPr>
          <w:rFonts w:ascii="Times New Roman" w:hAnsi="Times New Roman" w:cs="Times New Roman"/>
          <w:sz w:val="24"/>
          <w:szCs w:val="24"/>
        </w:rPr>
        <w:t xml:space="preserve"> -------------------------------------</w:t>
      </w:r>
      <w:r w:rsidR="00EC7FC8">
        <w:rPr>
          <w:rFonts w:ascii="Times New Roman" w:hAnsi="Times New Roman" w:cs="Times New Roman"/>
          <w:sz w:val="24"/>
          <w:szCs w:val="24"/>
        </w:rPr>
        <w:t>--------------</w:t>
      </w:r>
      <w:r w:rsidR="001A3430">
        <w:rPr>
          <w:rFonts w:ascii="Times New Roman" w:hAnsi="Times New Roman" w:cs="Times New Roman"/>
          <w:sz w:val="24"/>
          <w:szCs w:val="24"/>
        </w:rPr>
        <w:t>-- page 4</w:t>
      </w:r>
    </w:p>
    <w:p w:rsidR="007D4368" w:rsidRPr="00FC650C" w:rsidRDefault="0070228B" w:rsidP="0070228B">
      <w:pPr>
        <w:pStyle w:val="ListParagraph"/>
        <w:numPr>
          <w:ilvl w:val="0"/>
          <w:numId w:val="2"/>
        </w:numPr>
        <w:rPr>
          <w:rFonts w:ascii="Times New Roman" w:hAnsi="Times New Roman" w:cs="Times New Roman"/>
          <w:sz w:val="24"/>
          <w:szCs w:val="24"/>
        </w:rPr>
      </w:pPr>
      <w:r w:rsidRPr="00FC650C">
        <w:rPr>
          <w:rFonts w:ascii="Times New Roman" w:hAnsi="Times New Roman" w:cs="Times New Roman"/>
          <w:sz w:val="24"/>
          <w:szCs w:val="24"/>
        </w:rPr>
        <w:t>Deux années consécutives d’expansion de crédit</w:t>
      </w:r>
      <w:r w:rsidR="00364E38" w:rsidRPr="00FC650C">
        <w:rPr>
          <w:rFonts w:ascii="Times New Roman" w:hAnsi="Times New Roman" w:cs="Times New Roman"/>
          <w:sz w:val="24"/>
          <w:szCs w:val="24"/>
        </w:rPr>
        <w:t xml:space="preserve"> à l’économie</w:t>
      </w:r>
    </w:p>
    <w:p w:rsidR="0070228B" w:rsidRPr="00FC650C" w:rsidRDefault="003818B4" w:rsidP="0070228B">
      <w:pPr>
        <w:pStyle w:val="ListParagraph"/>
        <w:numPr>
          <w:ilvl w:val="0"/>
          <w:numId w:val="2"/>
        </w:numPr>
        <w:rPr>
          <w:rFonts w:ascii="Times New Roman" w:hAnsi="Times New Roman" w:cs="Times New Roman"/>
          <w:sz w:val="24"/>
          <w:szCs w:val="24"/>
        </w:rPr>
      </w:pPr>
      <w:r w:rsidRPr="00FC650C">
        <w:rPr>
          <w:rFonts w:ascii="Times New Roman" w:hAnsi="Times New Roman" w:cs="Times New Roman"/>
          <w:sz w:val="24"/>
          <w:szCs w:val="24"/>
        </w:rPr>
        <w:t>Instabilité du taux de change au début d’exercice</w:t>
      </w:r>
    </w:p>
    <w:p w:rsidR="00713B37" w:rsidRPr="00FC650C" w:rsidRDefault="009352BD" w:rsidP="0070228B">
      <w:pPr>
        <w:pStyle w:val="ListParagraph"/>
        <w:numPr>
          <w:ilvl w:val="0"/>
          <w:numId w:val="2"/>
        </w:numPr>
        <w:rPr>
          <w:rFonts w:ascii="Times New Roman" w:hAnsi="Times New Roman" w:cs="Times New Roman"/>
          <w:sz w:val="24"/>
          <w:szCs w:val="24"/>
        </w:rPr>
      </w:pPr>
      <w:r w:rsidRPr="00FC650C">
        <w:rPr>
          <w:rFonts w:ascii="Times New Roman" w:hAnsi="Times New Roman" w:cs="Times New Roman"/>
          <w:sz w:val="24"/>
          <w:szCs w:val="24"/>
        </w:rPr>
        <w:t>Mesures prises par la Banque Centrale</w:t>
      </w:r>
      <w:r w:rsidR="00713B37" w:rsidRPr="00FC650C">
        <w:rPr>
          <w:rFonts w:ascii="Times New Roman" w:hAnsi="Times New Roman" w:cs="Times New Roman"/>
          <w:sz w:val="24"/>
          <w:szCs w:val="24"/>
        </w:rPr>
        <w:t> :</w:t>
      </w:r>
    </w:p>
    <w:p w:rsidR="003818B4" w:rsidRPr="00FC650C" w:rsidRDefault="00713B37" w:rsidP="00713B37">
      <w:pPr>
        <w:pStyle w:val="ListParagraph"/>
        <w:numPr>
          <w:ilvl w:val="0"/>
          <w:numId w:val="4"/>
        </w:numPr>
        <w:tabs>
          <w:tab w:val="left" w:pos="1176"/>
        </w:tabs>
        <w:rPr>
          <w:rFonts w:ascii="Times New Roman" w:hAnsi="Times New Roman" w:cs="Times New Roman"/>
          <w:sz w:val="24"/>
          <w:szCs w:val="24"/>
        </w:rPr>
      </w:pPr>
      <w:r w:rsidRPr="00FC650C">
        <w:rPr>
          <w:rFonts w:ascii="Times New Roman" w:hAnsi="Times New Roman" w:cs="Times New Roman"/>
          <w:sz w:val="24"/>
          <w:szCs w:val="24"/>
        </w:rPr>
        <w:t xml:space="preserve"> </w:t>
      </w:r>
      <w:r w:rsidR="00D27456" w:rsidRPr="00FC650C">
        <w:rPr>
          <w:rFonts w:ascii="Times New Roman" w:hAnsi="Times New Roman" w:cs="Times New Roman"/>
          <w:sz w:val="24"/>
          <w:szCs w:val="24"/>
        </w:rPr>
        <w:t>Swap de devises contre monnaie nationale</w:t>
      </w:r>
    </w:p>
    <w:p w:rsidR="00D27456" w:rsidRPr="00FC650C" w:rsidRDefault="00D27456" w:rsidP="00713B37">
      <w:pPr>
        <w:pStyle w:val="ListParagraph"/>
        <w:numPr>
          <w:ilvl w:val="0"/>
          <w:numId w:val="4"/>
        </w:numPr>
        <w:tabs>
          <w:tab w:val="left" w:pos="1176"/>
        </w:tabs>
        <w:rPr>
          <w:rFonts w:ascii="Times New Roman" w:hAnsi="Times New Roman" w:cs="Times New Roman"/>
          <w:sz w:val="24"/>
          <w:szCs w:val="24"/>
        </w:rPr>
      </w:pPr>
      <w:r w:rsidRPr="00FC650C">
        <w:rPr>
          <w:rFonts w:ascii="Times New Roman" w:hAnsi="Times New Roman" w:cs="Times New Roman"/>
          <w:sz w:val="24"/>
          <w:szCs w:val="24"/>
        </w:rPr>
        <w:t>Paiement carte de crédit en gourdes</w:t>
      </w:r>
    </w:p>
    <w:p w:rsidR="00D27456" w:rsidRPr="00FC650C" w:rsidRDefault="00D27456" w:rsidP="00713B37">
      <w:pPr>
        <w:pStyle w:val="ListParagraph"/>
        <w:numPr>
          <w:ilvl w:val="0"/>
          <w:numId w:val="4"/>
        </w:numPr>
        <w:tabs>
          <w:tab w:val="left" w:pos="1176"/>
        </w:tabs>
        <w:rPr>
          <w:rFonts w:ascii="Times New Roman" w:hAnsi="Times New Roman" w:cs="Times New Roman"/>
          <w:sz w:val="24"/>
          <w:szCs w:val="24"/>
        </w:rPr>
      </w:pPr>
      <w:r w:rsidRPr="00FC650C">
        <w:rPr>
          <w:rFonts w:ascii="Times New Roman" w:hAnsi="Times New Roman" w:cs="Times New Roman"/>
          <w:sz w:val="24"/>
          <w:szCs w:val="24"/>
        </w:rPr>
        <w:t>Rétrocession prêt Petro-Caribe en monnaie nationale</w:t>
      </w:r>
    </w:p>
    <w:p w:rsidR="00D27456" w:rsidRPr="00FC650C" w:rsidRDefault="00E63BAC" w:rsidP="00713B37">
      <w:pPr>
        <w:pStyle w:val="ListParagraph"/>
        <w:numPr>
          <w:ilvl w:val="0"/>
          <w:numId w:val="4"/>
        </w:numPr>
        <w:tabs>
          <w:tab w:val="left" w:pos="1176"/>
        </w:tabs>
        <w:rPr>
          <w:rFonts w:ascii="Times New Roman" w:hAnsi="Times New Roman" w:cs="Times New Roman"/>
          <w:sz w:val="24"/>
          <w:szCs w:val="24"/>
        </w:rPr>
      </w:pPr>
      <w:r w:rsidRPr="00FC650C">
        <w:rPr>
          <w:rFonts w:ascii="Times New Roman" w:hAnsi="Times New Roman" w:cs="Times New Roman"/>
          <w:sz w:val="24"/>
          <w:szCs w:val="24"/>
        </w:rPr>
        <w:t xml:space="preserve">Modification des </w:t>
      </w:r>
      <w:r w:rsidR="00092040" w:rsidRPr="00FC650C">
        <w:rPr>
          <w:rFonts w:ascii="Times New Roman" w:hAnsi="Times New Roman" w:cs="Times New Roman"/>
          <w:sz w:val="24"/>
          <w:szCs w:val="24"/>
        </w:rPr>
        <w:t>réserves</w:t>
      </w:r>
      <w:r w:rsidRPr="00FC650C">
        <w:rPr>
          <w:rFonts w:ascii="Times New Roman" w:hAnsi="Times New Roman" w:cs="Times New Roman"/>
          <w:sz w:val="24"/>
          <w:szCs w:val="24"/>
        </w:rPr>
        <w:t xml:space="preserve"> obligatoires à la hausse</w:t>
      </w:r>
    </w:p>
    <w:p w:rsidR="00702DE9" w:rsidRPr="00FC650C" w:rsidRDefault="00B967DD" w:rsidP="00702DE9">
      <w:pPr>
        <w:pStyle w:val="ListParagraph"/>
        <w:numPr>
          <w:ilvl w:val="0"/>
          <w:numId w:val="4"/>
        </w:numPr>
        <w:tabs>
          <w:tab w:val="left" w:pos="1176"/>
        </w:tabs>
        <w:rPr>
          <w:rFonts w:ascii="Times New Roman" w:hAnsi="Times New Roman" w:cs="Times New Roman"/>
          <w:sz w:val="24"/>
          <w:szCs w:val="24"/>
        </w:rPr>
      </w:pPr>
      <w:r w:rsidRPr="00FC650C">
        <w:rPr>
          <w:rFonts w:ascii="Times New Roman" w:hAnsi="Times New Roman" w:cs="Times New Roman"/>
          <w:sz w:val="24"/>
          <w:szCs w:val="24"/>
        </w:rPr>
        <w:t>Utilisation des réserves de change</w:t>
      </w:r>
    </w:p>
    <w:p w:rsidR="00702DE9" w:rsidRPr="00FC650C" w:rsidRDefault="00702DE9" w:rsidP="00702DE9">
      <w:pPr>
        <w:pStyle w:val="ListParagraph"/>
        <w:numPr>
          <w:ilvl w:val="0"/>
          <w:numId w:val="2"/>
        </w:numPr>
        <w:tabs>
          <w:tab w:val="left" w:pos="1176"/>
        </w:tabs>
        <w:rPr>
          <w:rFonts w:ascii="Times New Roman" w:hAnsi="Times New Roman" w:cs="Times New Roman"/>
          <w:sz w:val="24"/>
          <w:szCs w:val="24"/>
        </w:rPr>
      </w:pPr>
      <w:r w:rsidRPr="00FC650C">
        <w:rPr>
          <w:rFonts w:ascii="Times New Roman" w:hAnsi="Times New Roman" w:cs="Times New Roman"/>
          <w:sz w:val="24"/>
          <w:szCs w:val="24"/>
        </w:rPr>
        <w:t xml:space="preserve">     Quasi-stabilité ou quasi-parité gourde/dollar en fin d’exercice 2012-2013</w:t>
      </w:r>
    </w:p>
    <w:p w:rsidR="00702DE9" w:rsidRPr="00FC650C" w:rsidRDefault="00F07E2E" w:rsidP="00F07E2E">
      <w:pPr>
        <w:pStyle w:val="ListParagraph"/>
        <w:numPr>
          <w:ilvl w:val="0"/>
          <w:numId w:val="2"/>
        </w:numPr>
        <w:tabs>
          <w:tab w:val="left" w:pos="1176"/>
          <w:tab w:val="left" w:pos="1350"/>
        </w:tabs>
        <w:rPr>
          <w:rFonts w:ascii="Times New Roman" w:hAnsi="Times New Roman" w:cs="Times New Roman"/>
          <w:sz w:val="24"/>
          <w:szCs w:val="24"/>
        </w:rPr>
      </w:pPr>
      <w:r w:rsidRPr="00FC650C">
        <w:rPr>
          <w:rFonts w:ascii="Times New Roman" w:hAnsi="Times New Roman" w:cs="Times New Roman"/>
          <w:sz w:val="24"/>
          <w:szCs w:val="24"/>
        </w:rPr>
        <w:t xml:space="preserve">     </w:t>
      </w:r>
      <w:r w:rsidR="00077C55" w:rsidRPr="00FC650C">
        <w:rPr>
          <w:rFonts w:ascii="Times New Roman" w:hAnsi="Times New Roman" w:cs="Times New Roman"/>
          <w:sz w:val="24"/>
          <w:szCs w:val="24"/>
        </w:rPr>
        <w:t>Assèchement</w:t>
      </w:r>
      <w:r w:rsidR="00EC5BDB" w:rsidRPr="00FC650C">
        <w:rPr>
          <w:rFonts w:ascii="Times New Roman" w:hAnsi="Times New Roman" w:cs="Times New Roman"/>
          <w:sz w:val="24"/>
          <w:szCs w:val="24"/>
        </w:rPr>
        <w:t xml:space="preserve"> des liquidités en gourdes des </w:t>
      </w:r>
      <w:r w:rsidR="00055441" w:rsidRPr="00FC650C">
        <w:rPr>
          <w:rFonts w:ascii="Times New Roman" w:hAnsi="Times New Roman" w:cs="Times New Roman"/>
          <w:sz w:val="24"/>
          <w:szCs w:val="24"/>
        </w:rPr>
        <w:t>B</w:t>
      </w:r>
      <w:r w:rsidR="00EC5BDB" w:rsidRPr="00FC650C">
        <w:rPr>
          <w:rFonts w:ascii="Times New Roman" w:hAnsi="Times New Roman" w:cs="Times New Roman"/>
          <w:sz w:val="24"/>
          <w:szCs w:val="24"/>
        </w:rPr>
        <w:t xml:space="preserve">anques jusqu’au déficit des </w:t>
      </w:r>
      <w:r w:rsidR="00055441" w:rsidRPr="00FC650C">
        <w:rPr>
          <w:rFonts w:ascii="Times New Roman" w:hAnsi="Times New Roman" w:cs="Times New Roman"/>
          <w:sz w:val="24"/>
          <w:szCs w:val="24"/>
        </w:rPr>
        <w:t>réserves</w:t>
      </w:r>
    </w:p>
    <w:p w:rsidR="00EC5BDB" w:rsidRPr="00FC650C" w:rsidRDefault="00055441" w:rsidP="00055441">
      <w:pPr>
        <w:pStyle w:val="ListParagraph"/>
        <w:numPr>
          <w:ilvl w:val="0"/>
          <w:numId w:val="2"/>
        </w:numPr>
        <w:tabs>
          <w:tab w:val="left" w:pos="1176"/>
          <w:tab w:val="left" w:pos="1350"/>
        </w:tabs>
        <w:rPr>
          <w:rFonts w:ascii="Times New Roman" w:hAnsi="Times New Roman" w:cs="Times New Roman"/>
          <w:sz w:val="24"/>
          <w:szCs w:val="24"/>
        </w:rPr>
      </w:pPr>
      <w:r w:rsidRPr="00FC650C">
        <w:rPr>
          <w:rFonts w:ascii="Times New Roman" w:hAnsi="Times New Roman" w:cs="Times New Roman"/>
          <w:sz w:val="24"/>
          <w:szCs w:val="24"/>
        </w:rPr>
        <w:t xml:space="preserve">     Baisse des placements dans les Bons BRH</w:t>
      </w:r>
    </w:p>
    <w:p w:rsidR="00B64CED" w:rsidRPr="00FC650C" w:rsidRDefault="00B64CED" w:rsidP="00055441">
      <w:pPr>
        <w:pStyle w:val="ListParagraph"/>
        <w:numPr>
          <w:ilvl w:val="0"/>
          <w:numId w:val="2"/>
        </w:numPr>
        <w:tabs>
          <w:tab w:val="left" w:pos="1176"/>
          <w:tab w:val="left" w:pos="1350"/>
        </w:tabs>
        <w:rPr>
          <w:rFonts w:ascii="Times New Roman" w:hAnsi="Times New Roman" w:cs="Times New Roman"/>
          <w:sz w:val="24"/>
          <w:szCs w:val="24"/>
        </w:rPr>
      </w:pPr>
      <w:r w:rsidRPr="00FC650C">
        <w:rPr>
          <w:rFonts w:ascii="Times New Roman" w:hAnsi="Times New Roman" w:cs="Times New Roman"/>
          <w:sz w:val="24"/>
          <w:szCs w:val="24"/>
        </w:rPr>
        <w:t xml:space="preserve">     Nouvel instrument de politique budgétaire : Bons du Trésor Public</w:t>
      </w:r>
    </w:p>
    <w:p w:rsidR="00B64CED" w:rsidRPr="00FC650C" w:rsidRDefault="00B64CED" w:rsidP="008E6536">
      <w:pPr>
        <w:pStyle w:val="ListParagraph"/>
        <w:numPr>
          <w:ilvl w:val="0"/>
          <w:numId w:val="2"/>
        </w:numPr>
        <w:tabs>
          <w:tab w:val="left" w:pos="1176"/>
          <w:tab w:val="left" w:pos="1350"/>
        </w:tabs>
        <w:spacing w:line="240" w:lineRule="auto"/>
        <w:rPr>
          <w:rFonts w:ascii="Times New Roman" w:hAnsi="Times New Roman" w:cs="Times New Roman"/>
          <w:sz w:val="24"/>
          <w:szCs w:val="24"/>
        </w:rPr>
      </w:pPr>
      <w:r w:rsidRPr="00FC650C">
        <w:rPr>
          <w:rFonts w:ascii="Times New Roman" w:hAnsi="Times New Roman" w:cs="Times New Roman"/>
          <w:sz w:val="24"/>
          <w:szCs w:val="24"/>
        </w:rPr>
        <w:t xml:space="preserve">     Financement du Déficit Public</w:t>
      </w:r>
    </w:p>
    <w:p w:rsidR="00867725" w:rsidRPr="00FC650C" w:rsidRDefault="00867725" w:rsidP="00867725">
      <w:pPr>
        <w:pStyle w:val="ListParagraph"/>
        <w:tabs>
          <w:tab w:val="left" w:pos="1176"/>
          <w:tab w:val="left" w:pos="1350"/>
        </w:tabs>
        <w:spacing w:line="240" w:lineRule="auto"/>
        <w:ind w:left="1440"/>
        <w:rPr>
          <w:rFonts w:ascii="Times New Roman" w:hAnsi="Times New Roman" w:cs="Times New Roman"/>
          <w:sz w:val="24"/>
          <w:szCs w:val="24"/>
        </w:rPr>
      </w:pPr>
    </w:p>
    <w:p w:rsidR="00241D07" w:rsidRPr="00FC650C" w:rsidRDefault="00241D07" w:rsidP="00266EE9">
      <w:pPr>
        <w:pStyle w:val="ListParagraph"/>
        <w:numPr>
          <w:ilvl w:val="0"/>
          <w:numId w:val="1"/>
        </w:numPr>
        <w:tabs>
          <w:tab w:val="left" w:pos="1176"/>
          <w:tab w:val="left" w:pos="1350"/>
          <w:tab w:val="left" w:pos="8280"/>
          <w:tab w:val="left" w:pos="8370"/>
        </w:tabs>
        <w:spacing w:line="240" w:lineRule="auto"/>
        <w:rPr>
          <w:rFonts w:ascii="Times New Roman" w:hAnsi="Times New Roman" w:cs="Times New Roman"/>
          <w:sz w:val="24"/>
          <w:szCs w:val="24"/>
        </w:rPr>
      </w:pPr>
      <w:r w:rsidRPr="00FC650C">
        <w:rPr>
          <w:rFonts w:ascii="Times New Roman" w:hAnsi="Times New Roman" w:cs="Times New Roman"/>
          <w:sz w:val="24"/>
          <w:szCs w:val="24"/>
        </w:rPr>
        <w:t>La compensation électronique</w:t>
      </w:r>
      <w:r w:rsidR="00266EE9">
        <w:rPr>
          <w:rFonts w:ascii="Times New Roman" w:hAnsi="Times New Roman" w:cs="Times New Roman"/>
          <w:sz w:val="24"/>
          <w:szCs w:val="24"/>
        </w:rPr>
        <w:t xml:space="preserve"> --------------------------------------------------</w:t>
      </w:r>
      <w:r w:rsidR="00EC7FC8">
        <w:rPr>
          <w:rFonts w:ascii="Times New Roman" w:hAnsi="Times New Roman" w:cs="Times New Roman"/>
          <w:sz w:val="24"/>
          <w:szCs w:val="24"/>
        </w:rPr>
        <w:t>-------------</w:t>
      </w:r>
      <w:r w:rsidR="00266EE9">
        <w:rPr>
          <w:rFonts w:ascii="Times New Roman" w:hAnsi="Times New Roman" w:cs="Times New Roman"/>
          <w:sz w:val="24"/>
          <w:szCs w:val="24"/>
        </w:rPr>
        <w:t>---</w:t>
      </w:r>
      <w:r w:rsidR="00266EE9">
        <w:rPr>
          <w:rFonts w:ascii="Times New Roman" w:hAnsi="Times New Roman" w:cs="Times New Roman"/>
          <w:sz w:val="24"/>
          <w:szCs w:val="24"/>
        </w:rPr>
        <w:tab/>
        <w:t>page 6</w:t>
      </w:r>
    </w:p>
    <w:p w:rsidR="00867725" w:rsidRPr="00FC650C" w:rsidRDefault="00867725" w:rsidP="00867725">
      <w:pPr>
        <w:pStyle w:val="ListParagraph"/>
        <w:tabs>
          <w:tab w:val="left" w:pos="1176"/>
          <w:tab w:val="left" w:pos="1350"/>
        </w:tabs>
        <w:spacing w:line="240" w:lineRule="auto"/>
        <w:ind w:left="1080"/>
        <w:rPr>
          <w:rFonts w:ascii="Times New Roman" w:hAnsi="Times New Roman" w:cs="Times New Roman"/>
          <w:sz w:val="24"/>
          <w:szCs w:val="24"/>
        </w:rPr>
      </w:pPr>
    </w:p>
    <w:p w:rsidR="00241D07" w:rsidRPr="00FC650C" w:rsidRDefault="00241D07" w:rsidP="00945274">
      <w:pPr>
        <w:pStyle w:val="ListParagraph"/>
        <w:numPr>
          <w:ilvl w:val="0"/>
          <w:numId w:val="1"/>
        </w:numPr>
        <w:tabs>
          <w:tab w:val="left" w:pos="1176"/>
          <w:tab w:val="left" w:pos="1350"/>
          <w:tab w:val="left" w:pos="8280"/>
          <w:tab w:val="left" w:pos="8370"/>
        </w:tabs>
        <w:spacing w:line="240" w:lineRule="auto"/>
        <w:rPr>
          <w:rFonts w:ascii="Times New Roman" w:hAnsi="Times New Roman" w:cs="Times New Roman"/>
          <w:sz w:val="24"/>
          <w:szCs w:val="24"/>
        </w:rPr>
      </w:pPr>
      <w:r w:rsidRPr="00FC650C">
        <w:rPr>
          <w:rFonts w:ascii="Times New Roman" w:hAnsi="Times New Roman" w:cs="Times New Roman"/>
          <w:sz w:val="24"/>
          <w:szCs w:val="24"/>
        </w:rPr>
        <w:t>Lutte contre le Blanchiment des capitaux et Financement du Terrorisme</w:t>
      </w:r>
      <w:r w:rsidR="00945274">
        <w:rPr>
          <w:rFonts w:ascii="Times New Roman" w:hAnsi="Times New Roman" w:cs="Times New Roman"/>
          <w:sz w:val="24"/>
          <w:szCs w:val="24"/>
        </w:rPr>
        <w:t xml:space="preserve"> --</w:t>
      </w:r>
      <w:r w:rsidR="00EC7FC8">
        <w:rPr>
          <w:rFonts w:ascii="Times New Roman" w:hAnsi="Times New Roman" w:cs="Times New Roman"/>
          <w:sz w:val="24"/>
          <w:szCs w:val="24"/>
        </w:rPr>
        <w:t>-------------</w:t>
      </w:r>
      <w:r w:rsidR="00945274">
        <w:rPr>
          <w:rFonts w:ascii="Times New Roman" w:hAnsi="Times New Roman" w:cs="Times New Roman"/>
          <w:sz w:val="24"/>
          <w:szCs w:val="24"/>
        </w:rPr>
        <w:t>-</w:t>
      </w:r>
      <w:r w:rsidR="00945274">
        <w:rPr>
          <w:rFonts w:ascii="Times New Roman" w:hAnsi="Times New Roman" w:cs="Times New Roman"/>
          <w:sz w:val="24"/>
          <w:szCs w:val="24"/>
        </w:rPr>
        <w:tab/>
        <w:t xml:space="preserve">page </w:t>
      </w:r>
      <w:r w:rsidR="00DC067E">
        <w:rPr>
          <w:rFonts w:ascii="Times New Roman" w:hAnsi="Times New Roman" w:cs="Times New Roman"/>
          <w:sz w:val="24"/>
          <w:szCs w:val="24"/>
        </w:rPr>
        <w:t>6</w:t>
      </w:r>
    </w:p>
    <w:p w:rsidR="00F47F5A" w:rsidRPr="00FC650C" w:rsidRDefault="00F47F5A" w:rsidP="008E6536">
      <w:pPr>
        <w:pStyle w:val="ListParagraph"/>
        <w:numPr>
          <w:ilvl w:val="0"/>
          <w:numId w:val="2"/>
        </w:numPr>
        <w:tabs>
          <w:tab w:val="left" w:pos="1176"/>
          <w:tab w:val="left" w:pos="1350"/>
        </w:tabs>
        <w:spacing w:line="240" w:lineRule="auto"/>
        <w:rPr>
          <w:rFonts w:ascii="Times New Roman" w:hAnsi="Times New Roman" w:cs="Times New Roman"/>
          <w:sz w:val="24"/>
          <w:szCs w:val="24"/>
        </w:rPr>
      </w:pPr>
      <w:r w:rsidRPr="00FC650C">
        <w:rPr>
          <w:rFonts w:ascii="Times New Roman" w:hAnsi="Times New Roman" w:cs="Times New Roman"/>
          <w:sz w:val="24"/>
          <w:szCs w:val="24"/>
        </w:rPr>
        <w:t xml:space="preserve">     </w:t>
      </w:r>
      <w:r w:rsidR="00A65A1D" w:rsidRPr="00FC650C">
        <w:rPr>
          <w:rFonts w:ascii="Times New Roman" w:hAnsi="Times New Roman" w:cs="Times New Roman"/>
          <w:sz w:val="24"/>
          <w:szCs w:val="24"/>
        </w:rPr>
        <w:t>Réunion plénière GAFIC</w:t>
      </w:r>
    </w:p>
    <w:p w:rsidR="00A65A1D" w:rsidRPr="00FC650C" w:rsidRDefault="00773E6F" w:rsidP="008E6536">
      <w:pPr>
        <w:pStyle w:val="ListParagraph"/>
        <w:numPr>
          <w:ilvl w:val="0"/>
          <w:numId w:val="2"/>
        </w:numPr>
        <w:tabs>
          <w:tab w:val="left" w:pos="1176"/>
          <w:tab w:val="left" w:pos="1350"/>
        </w:tabs>
        <w:spacing w:line="240" w:lineRule="auto"/>
        <w:rPr>
          <w:rFonts w:ascii="Times New Roman" w:hAnsi="Times New Roman" w:cs="Times New Roman"/>
          <w:sz w:val="24"/>
          <w:szCs w:val="24"/>
        </w:rPr>
      </w:pPr>
      <w:r w:rsidRPr="00FC650C">
        <w:rPr>
          <w:rFonts w:ascii="Times New Roman" w:hAnsi="Times New Roman" w:cs="Times New Roman"/>
          <w:sz w:val="24"/>
          <w:szCs w:val="24"/>
        </w:rPr>
        <w:t xml:space="preserve">     Vote de la Loi</w:t>
      </w:r>
    </w:p>
    <w:p w:rsidR="00867725" w:rsidRPr="00FC650C" w:rsidRDefault="00867725" w:rsidP="00867725">
      <w:pPr>
        <w:pStyle w:val="ListParagraph"/>
        <w:tabs>
          <w:tab w:val="left" w:pos="1176"/>
          <w:tab w:val="left" w:pos="1350"/>
        </w:tabs>
        <w:spacing w:line="240" w:lineRule="auto"/>
        <w:ind w:left="1440"/>
        <w:rPr>
          <w:rFonts w:ascii="Times New Roman" w:hAnsi="Times New Roman" w:cs="Times New Roman"/>
          <w:sz w:val="24"/>
          <w:szCs w:val="24"/>
        </w:rPr>
      </w:pPr>
    </w:p>
    <w:p w:rsidR="00CD0F38" w:rsidRPr="00FC650C" w:rsidRDefault="00A12DA9" w:rsidP="00FB7E9E">
      <w:pPr>
        <w:pStyle w:val="ListParagraph"/>
        <w:numPr>
          <w:ilvl w:val="0"/>
          <w:numId w:val="5"/>
        </w:numPr>
        <w:tabs>
          <w:tab w:val="left" w:pos="1176"/>
          <w:tab w:val="left" w:pos="1350"/>
          <w:tab w:val="left" w:pos="9180"/>
          <w:tab w:val="left" w:pos="9270"/>
          <w:tab w:val="left" w:pos="9360"/>
          <w:tab w:val="left" w:pos="9450"/>
        </w:tabs>
        <w:spacing w:line="240" w:lineRule="auto"/>
        <w:rPr>
          <w:rFonts w:ascii="Times New Roman" w:hAnsi="Times New Roman" w:cs="Times New Roman"/>
          <w:sz w:val="24"/>
          <w:szCs w:val="24"/>
        </w:rPr>
      </w:pPr>
      <w:r w:rsidRPr="00FC650C">
        <w:rPr>
          <w:rFonts w:ascii="Times New Roman" w:hAnsi="Times New Roman" w:cs="Times New Roman"/>
          <w:sz w:val="24"/>
          <w:szCs w:val="24"/>
        </w:rPr>
        <w:t>Coopération avec les agences internationales</w:t>
      </w:r>
      <w:r w:rsidR="00FB7E9E">
        <w:rPr>
          <w:rFonts w:ascii="Times New Roman" w:hAnsi="Times New Roman" w:cs="Times New Roman"/>
          <w:sz w:val="24"/>
          <w:szCs w:val="24"/>
        </w:rPr>
        <w:t xml:space="preserve"> ------------------------------------------------</w:t>
      </w:r>
      <w:r w:rsidR="00FB7E9E">
        <w:rPr>
          <w:rFonts w:ascii="Times New Roman" w:hAnsi="Times New Roman" w:cs="Times New Roman"/>
          <w:sz w:val="24"/>
          <w:szCs w:val="24"/>
        </w:rPr>
        <w:tab/>
        <w:t>page 7</w:t>
      </w:r>
    </w:p>
    <w:p w:rsidR="00A12DA9" w:rsidRPr="00FC650C" w:rsidRDefault="00A12DA9" w:rsidP="00A12DA9">
      <w:pPr>
        <w:pStyle w:val="ListParagraph"/>
        <w:numPr>
          <w:ilvl w:val="0"/>
          <w:numId w:val="2"/>
        </w:numPr>
        <w:tabs>
          <w:tab w:val="left" w:pos="1176"/>
          <w:tab w:val="left" w:pos="1350"/>
        </w:tabs>
        <w:spacing w:after="0" w:line="240" w:lineRule="auto"/>
        <w:rPr>
          <w:rFonts w:ascii="Times New Roman" w:hAnsi="Times New Roman" w:cs="Times New Roman"/>
          <w:sz w:val="24"/>
          <w:szCs w:val="24"/>
        </w:rPr>
      </w:pPr>
      <w:r w:rsidRPr="00FC650C">
        <w:rPr>
          <w:rFonts w:ascii="Times New Roman" w:hAnsi="Times New Roman" w:cs="Times New Roman"/>
          <w:sz w:val="24"/>
          <w:szCs w:val="24"/>
        </w:rPr>
        <w:t xml:space="preserve">      INF</w:t>
      </w:r>
    </w:p>
    <w:p w:rsidR="00A12DA9" w:rsidRPr="00FC650C" w:rsidRDefault="00A12DA9" w:rsidP="00A12DA9">
      <w:pPr>
        <w:pStyle w:val="ListParagraph"/>
        <w:numPr>
          <w:ilvl w:val="0"/>
          <w:numId w:val="2"/>
        </w:numPr>
        <w:tabs>
          <w:tab w:val="left" w:pos="1176"/>
          <w:tab w:val="left" w:pos="1350"/>
        </w:tabs>
        <w:spacing w:after="0" w:line="240" w:lineRule="auto"/>
        <w:rPr>
          <w:rFonts w:ascii="Times New Roman" w:hAnsi="Times New Roman" w:cs="Times New Roman"/>
          <w:sz w:val="24"/>
          <w:szCs w:val="24"/>
        </w:rPr>
      </w:pPr>
      <w:r w:rsidRPr="00FC650C">
        <w:rPr>
          <w:rFonts w:ascii="Times New Roman" w:hAnsi="Times New Roman" w:cs="Times New Roman"/>
          <w:sz w:val="24"/>
          <w:szCs w:val="24"/>
        </w:rPr>
        <w:t xml:space="preserve">      UE</w:t>
      </w:r>
    </w:p>
    <w:p w:rsidR="00A12DA9" w:rsidRPr="00FC650C" w:rsidRDefault="00A12DA9" w:rsidP="00867725">
      <w:pPr>
        <w:pStyle w:val="ListParagraph"/>
        <w:numPr>
          <w:ilvl w:val="0"/>
          <w:numId w:val="2"/>
        </w:numPr>
        <w:tabs>
          <w:tab w:val="left" w:pos="1176"/>
          <w:tab w:val="left" w:pos="1350"/>
        </w:tabs>
        <w:spacing w:after="0" w:line="240" w:lineRule="auto"/>
        <w:rPr>
          <w:rFonts w:ascii="Times New Roman" w:hAnsi="Times New Roman" w:cs="Times New Roman"/>
          <w:sz w:val="24"/>
          <w:szCs w:val="24"/>
        </w:rPr>
      </w:pPr>
      <w:r w:rsidRPr="00FC650C">
        <w:rPr>
          <w:rFonts w:ascii="Times New Roman" w:hAnsi="Times New Roman" w:cs="Times New Roman"/>
          <w:sz w:val="24"/>
          <w:szCs w:val="24"/>
        </w:rPr>
        <w:t xml:space="preserve">     </w:t>
      </w:r>
      <w:r w:rsidR="00384F1B">
        <w:rPr>
          <w:rFonts w:ascii="Times New Roman" w:hAnsi="Times New Roman" w:cs="Times New Roman"/>
          <w:sz w:val="24"/>
          <w:szCs w:val="24"/>
        </w:rPr>
        <w:t xml:space="preserve"> </w:t>
      </w:r>
      <w:r w:rsidRPr="00FC650C">
        <w:rPr>
          <w:rFonts w:ascii="Times New Roman" w:hAnsi="Times New Roman" w:cs="Times New Roman"/>
          <w:sz w:val="24"/>
          <w:szCs w:val="24"/>
        </w:rPr>
        <w:t>IFC/BEI</w:t>
      </w:r>
    </w:p>
    <w:p w:rsidR="00867725" w:rsidRPr="00FC650C" w:rsidRDefault="00867725" w:rsidP="00867725">
      <w:pPr>
        <w:pStyle w:val="ListParagraph"/>
        <w:tabs>
          <w:tab w:val="left" w:pos="1176"/>
          <w:tab w:val="left" w:pos="1350"/>
        </w:tabs>
        <w:spacing w:after="0" w:line="240" w:lineRule="auto"/>
        <w:ind w:left="1440"/>
        <w:rPr>
          <w:rFonts w:ascii="Times New Roman" w:hAnsi="Times New Roman" w:cs="Times New Roman"/>
          <w:sz w:val="24"/>
          <w:szCs w:val="24"/>
        </w:rPr>
      </w:pPr>
    </w:p>
    <w:p w:rsidR="00241D07" w:rsidRPr="00FC650C" w:rsidRDefault="004F4767" w:rsidP="00EC4D51">
      <w:pPr>
        <w:pStyle w:val="ListParagraph"/>
        <w:numPr>
          <w:ilvl w:val="0"/>
          <w:numId w:val="5"/>
        </w:numPr>
        <w:tabs>
          <w:tab w:val="left" w:pos="1176"/>
          <w:tab w:val="left" w:pos="1350"/>
          <w:tab w:val="left" w:pos="9270"/>
          <w:tab w:val="left" w:pos="9360"/>
          <w:tab w:val="left" w:pos="9450"/>
        </w:tabs>
        <w:spacing w:after="0" w:line="240" w:lineRule="auto"/>
        <w:rPr>
          <w:rFonts w:ascii="Times New Roman" w:hAnsi="Times New Roman" w:cs="Times New Roman"/>
          <w:sz w:val="24"/>
          <w:szCs w:val="24"/>
        </w:rPr>
      </w:pPr>
      <w:r w:rsidRPr="00FC650C">
        <w:rPr>
          <w:rFonts w:ascii="Times New Roman" w:hAnsi="Times New Roman" w:cs="Times New Roman"/>
          <w:sz w:val="24"/>
          <w:szCs w:val="24"/>
        </w:rPr>
        <w:t>Coopération avec les Institutions Etatiques</w:t>
      </w:r>
      <w:r w:rsidR="00EC4D51">
        <w:rPr>
          <w:rFonts w:ascii="Times New Roman" w:hAnsi="Times New Roman" w:cs="Times New Roman"/>
          <w:sz w:val="24"/>
          <w:szCs w:val="24"/>
        </w:rPr>
        <w:t xml:space="preserve"> --------------------------------------------------</w:t>
      </w:r>
      <w:r w:rsidR="00EC4D51">
        <w:rPr>
          <w:rFonts w:ascii="Times New Roman" w:hAnsi="Times New Roman" w:cs="Times New Roman"/>
          <w:sz w:val="24"/>
          <w:szCs w:val="24"/>
        </w:rPr>
        <w:tab/>
      </w:r>
      <w:r w:rsidR="00EC4D51">
        <w:rPr>
          <w:rFonts w:ascii="Times New Roman" w:hAnsi="Times New Roman" w:cs="Times New Roman"/>
          <w:sz w:val="24"/>
          <w:szCs w:val="24"/>
        </w:rPr>
        <w:tab/>
        <w:t xml:space="preserve">page </w:t>
      </w:r>
      <w:r w:rsidR="00637DF3">
        <w:rPr>
          <w:rFonts w:ascii="Times New Roman" w:hAnsi="Times New Roman" w:cs="Times New Roman"/>
          <w:sz w:val="24"/>
          <w:szCs w:val="24"/>
        </w:rPr>
        <w:t>7</w:t>
      </w:r>
    </w:p>
    <w:p w:rsidR="004F4767" w:rsidRPr="00FC650C" w:rsidRDefault="001500CF" w:rsidP="00D2625D">
      <w:pPr>
        <w:tabs>
          <w:tab w:val="left" w:pos="1176"/>
          <w:tab w:val="left" w:pos="1350"/>
          <w:tab w:val="left" w:pos="1440"/>
        </w:tabs>
        <w:spacing w:after="0"/>
        <w:ind w:left="360"/>
        <w:rPr>
          <w:rFonts w:ascii="Times New Roman" w:hAnsi="Times New Roman" w:cs="Times New Roman"/>
          <w:sz w:val="24"/>
          <w:szCs w:val="24"/>
        </w:rPr>
      </w:pPr>
      <w:r w:rsidRPr="00FC650C">
        <w:rPr>
          <w:rFonts w:ascii="Times New Roman" w:hAnsi="Times New Roman" w:cs="Times New Roman"/>
          <w:sz w:val="24"/>
          <w:szCs w:val="24"/>
        </w:rPr>
        <w:tab/>
        <w:t xml:space="preserve">- </w:t>
      </w:r>
      <w:r w:rsidR="00D2625D" w:rsidRPr="00FC650C">
        <w:rPr>
          <w:rFonts w:ascii="Times New Roman" w:hAnsi="Times New Roman" w:cs="Times New Roman"/>
          <w:sz w:val="24"/>
          <w:szCs w:val="24"/>
        </w:rPr>
        <w:tab/>
      </w:r>
      <w:r w:rsidR="00D2625D" w:rsidRPr="00FC650C">
        <w:rPr>
          <w:rFonts w:ascii="Times New Roman" w:hAnsi="Times New Roman" w:cs="Times New Roman"/>
          <w:sz w:val="24"/>
          <w:szCs w:val="24"/>
        </w:rPr>
        <w:tab/>
      </w:r>
      <w:r w:rsidR="00E553CA" w:rsidRPr="00FC650C">
        <w:rPr>
          <w:rFonts w:ascii="Times New Roman" w:hAnsi="Times New Roman" w:cs="Times New Roman"/>
          <w:sz w:val="24"/>
          <w:szCs w:val="24"/>
        </w:rPr>
        <w:t>BRH (entraves au D</w:t>
      </w:r>
      <w:r w:rsidR="00E553CA" w:rsidRPr="00FC650C">
        <w:rPr>
          <w:rFonts w:ascii="Times New Roman" w:eastAsiaTheme="minorHAnsi" w:hAnsi="Times New Roman" w:cs="Times New Roman"/>
          <w:sz w:val="24"/>
          <w:szCs w:val="24"/>
          <w:lang w:eastAsia="ja-JP"/>
        </w:rPr>
        <w:t>éveloppement du crédit)</w:t>
      </w:r>
    </w:p>
    <w:p w:rsidR="00E553CA" w:rsidRPr="00FC650C" w:rsidRDefault="001500CF" w:rsidP="00317809">
      <w:pPr>
        <w:tabs>
          <w:tab w:val="left" w:pos="1176"/>
          <w:tab w:val="left" w:pos="1350"/>
          <w:tab w:val="left" w:pos="1440"/>
        </w:tabs>
        <w:spacing w:after="0"/>
        <w:ind w:left="360"/>
        <w:rPr>
          <w:rFonts w:ascii="Times New Roman" w:hAnsi="Times New Roman" w:cs="Times New Roman"/>
          <w:sz w:val="24"/>
          <w:szCs w:val="24"/>
        </w:rPr>
      </w:pPr>
      <w:r w:rsidRPr="00FC650C">
        <w:rPr>
          <w:rFonts w:ascii="Times New Roman" w:eastAsiaTheme="minorHAnsi" w:hAnsi="Times New Roman" w:cs="Times New Roman"/>
          <w:sz w:val="24"/>
          <w:szCs w:val="24"/>
          <w:lang w:eastAsia="ja-JP"/>
        </w:rPr>
        <w:tab/>
      </w:r>
      <w:r w:rsidR="00E553CA" w:rsidRPr="00FC650C">
        <w:rPr>
          <w:rFonts w:ascii="Times New Roman" w:eastAsiaTheme="minorHAnsi" w:hAnsi="Times New Roman" w:cs="Times New Roman"/>
          <w:sz w:val="24"/>
          <w:szCs w:val="24"/>
          <w:lang w:eastAsia="ja-JP"/>
        </w:rPr>
        <w:t>-</w:t>
      </w:r>
      <w:r w:rsidRPr="00FC650C">
        <w:rPr>
          <w:rFonts w:ascii="Times New Roman" w:eastAsiaTheme="minorHAnsi" w:hAnsi="Times New Roman" w:cs="Times New Roman"/>
          <w:sz w:val="24"/>
          <w:szCs w:val="24"/>
          <w:lang w:eastAsia="ja-JP"/>
        </w:rPr>
        <w:t xml:space="preserve"> </w:t>
      </w:r>
      <w:r w:rsidR="00D2625D" w:rsidRPr="00FC650C">
        <w:rPr>
          <w:rFonts w:ascii="Times New Roman" w:eastAsiaTheme="minorHAnsi" w:hAnsi="Times New Roman" w:cs="Times New Roman"/>
          <w:sz w:val="24"/>
          <w:szCs w:val="24"/>
          <w:lang w:eastAsia="ja-JP"/>
        </w:rPr>
        <w:tab/>
      </w:r>
      <w:r w:rsidR="00D2625D" w:rsidRPr="00FC650C">
        <w:rPr>
          <w:rFonts w:ascii="Times New Roman" w:eastAsiaTheme="minorHAnsi" w:hAnsi="Times New Roman" w:cs="Times New Roman"/>
          <w:sz w:val="24"/>
          <w:szCs w:val="24"/>
          <w:lang w:eastAsia="ja-JP"/>
        </w:rPr>
        <w:tab/>
      </w:r>
      <w:r w:rsidRPr="00FC650C">
        <w:rPr>
          <w:rFonts w:ascii="Times New Roman" w:eastAsiaTheme="minorHAnsi" w:hAnsi="Times New Roman" w:cs="Times New Roman"/>
          <w:sz w:val="24"/>
          <w:szCs w:val="24"/>
          <w:lang w:eastAsia="ja-JP"/>
        </w:rPr>
        <w:t>B</w:t>
      </w:r>
      <w:r w:rsidR="00E553CA" w:rsidRPr="00FC650C">
        <w:rPr>
          <w:rFonts w:ascii="Times New Roman" w:eastAsiaTheme="minorHAnsi" w:hAnsi="Times New Roman" w:cs="Times New Roman"/>
          <w:sz w:val="24"/>
          <w:szCs w:val="24"/>
          <w:lang w:eastAsia="ja-JP"/>
        </w:rPr>
        <w:t>RH : mécanisme de Financement en devises</w:t>
      </w:r>
    </w:p>
    <w:p w:rsidR="00E553CA" w:rsidRPr="00FC650C" w:rsidRDefault="001500CF" w:rsidP="00867725">
      <w:pPr>
        <w:tabs>
          <w:tab w:val="left" w:pos="1176"/>
          <w:tab w:val="left" w:pos="1350"/>
          <w:tab w:val="left" w:pos="1440"/>
        </w:tabs>
        <w:spacing w:after="0"/>
        <w:ind w:left="1440" w:hanging="1080"/>
        <w:rPr>
          <w:rFonts w:ascii="Times New Roman" w:eastAsiaTheme="minorHAnsi" w:hAnsi="Times New Roman" w:cs="Times New Roman"/>
          <w:sz w:val="24"/>
          <w:szCs w:val="24"/>
          <w:lang w:eastAsia="ja-JP"/>
        </w:rPr>
      </w:pPr>
      <w:r w:rsidRPr="00FC650C">
        <w:rPr>
          <w:rFonts w:ascii="Times New Roman" w:eastAsiaTheme="minorHAnsi" w:hAnsi="Times New Roman" w:cs="Times New Roman"/>
          <w:sz w:val="24"/>
          <w:szCs w:val="24"/>
          <w:lang w:eastAsia="ja-JP"/>
        </w:rPr>
        <w:tab/>
        <w:t xml:space="preserve">- </w:t>
      </w:r>
      <w:r w:rsidR="00D2625D" w:rsidRPr="00FC650C">
        <w:rPr>
          <w:rFonts w:ascii="Times New Roman" w:eastAsiaTheme="minorHAnsi" w:hAnsi="Times New Roman" w:cs="Times New Roman"/>
          <w:sz w:val="24"/>
          <w:szCs w:val="24"/>
          <w:lang w:eastAsia="ja-JP"/>
        </w:rPr>
        <w:tab/>
      </w:r>
      <w:r w:rsidR="00D2625D" w:rsidRPr="00FC650C">
        <w:rPr>
          <w:rFonts w:ascii="Times New Roman" w:eastAsiaTheme="minorHAnsi" w:hAnsi="Times New Roman" w:cs="Times New Roman"/>
          <w:sz w:val="24"/>
          <w:szCs w:val="24"/>
          <w:lang w:eastAsia="ja-JP"/>
        </w:rPr>
        <w:tab/>
      </w:r>
      <w:r w:rsidR="00E553CA" w:rsidRPr="00FC650C">
        <w:rPr>
          <w:rFonts w:ascii="Times New Roman" w:eastAsiaTheme="minorHAnsi" w:hAnsi="Times New Roman" w:cs="Times New Roman"/>
          <w:sz w:val="24"/>
          <w:szCs w:val="24"/>
          <w:lang w:eastAsia="ja-JP"/>
        </w:rPr>
        <w:t xml:space="preserve">Unité Construction Logement et </w:t>
      </w:r>
      <w:r w:rsidR="00237578" w:rsidRPr="00FC650C">
        <w:rPr>
          <w:rFonts w:ascii="Times New Roman" w:eastAsiaTheme="minorHAnsi" w:hAnsi="Times New Roman" w:cs="Times New Roman"/>
          <w:sz w:val="24"/>
          <w:szCs w:val="24"/>
          <w:lang w:eastAsia="ja-JP"/>
        </w:rPr>
        <w:t>Bâtiments</w:t>
      </w:r>
      <w:r w:rsidR="00E553CA" w:rsidRPr="00FC650C">
        <w:rPr>
          <w:rFonts w:ascii="Times New Roman" w:eastAsiaTheme="minorHAnsi" w:hAnsi="Times New Roman" w:cs="Times New Roman"/>
          <w:sz w:val="24"/>
          <w:szCs w:val="24"/>
          <w:lang w:eastAsia="ja-JP"/>
        </w:rPr>
        <w:t xml:space="preserve"> Publics (UCLBP)</w:t>
      </w:r>
      <w:r w:rsidR="00D2625D" w:rsidRPr="00FC650C">
        <w:rPr>
          <w:rFonts w:ascii="Times New Roman" w:eastAsiaTheme="minorHAnsi" w:hAnsi="Times New Roman" w:cs="Times New Roman"/>
          <w:sz w:val="24"/>
          <w:szCs w:val="24"/>
          <w:lang w:eastAsia="ja-JP"/>
        </w:rPr>
        <w:t xml:space="preserve"> Financement de l’Immobilier</w:t>
      </w:r>
    </w:p>
    <w:p w:rsidR="00D2625D" w:rsidRPr="00FC650C" w:rsidRDefault="00D2625D" w:rsidP="008E6536">
      <w:pPr>
        <w:tabs>
          <w:tab w:val="left" w:pos="1176"/>
          <w:tab w:val="left" w:pos="1350"/>
          <w:tab w:val="left" w:pos="1440"/>
        </w:tabs>
        <w:spacing w:after="0" w:line="240" w:lineRule="auto"/>
        <w:ind w:left="1440" w:hanging="1080"/>
        <w:rPr>
          <w:rFonts w:ascii="Times New Roman" w:eastAsiaTheme="minorHAnsi" w:hAnsi="Times New Roman" w:cs="Times New Roman"/>
          <w:sz w:val="24"/>
          <w:szCs w:val="24"/>
          <w:lang w:eastAsia="ja-JP"/>
        </w:rPr>
      </w:pPr>
      <w:r w:rsidRPr="00FC650C">
        <w:rPr>
          <w:rFonts w:ascii="Times New Roman" w:eastAsiaTheme="minorHAnsi" w:hAnsi="Times New Roman" w:cs="Times New Roman"/>
          <w:sz w:val="24"/>
          <w:szCs w:val="24"/>
          <w:lang w:eastAsia="ja-JP"/>
        </w:rPr>
        <w:tab/>
        <w:t>-</w:t>
      </w:r>
      <w:r w:rsidRPr="00FC650C">
        <w:rPr>
          <w:rFonts w:ascii="Times New Roman" w:eastAsiaTheme="minorHAnsi" w:hAnsi="Times New Roman" w:cs="Times New Roman"/>
          <w:sz w:val="24"/>
          <w:szCs w:val="24"/>
          <w:lang w:eastAsia="ja-JP"/>
        </w:rPr>
        <w:tab/>
      </w:r>
      <w:r w:rsidRPr="00FC650C">
        <w:rPr>
          <w:rFonts w:ascii="Times New Roman" w:eastAsiaTheme="minorHAnsi" w:hAnsi="Times New Roman" w:cs="Times New Roman"/>
          <w:sz w:val="24"/>
          <w:szCs w:val="24"/>
          <w:lang w:eastAsia="ja-JP"/>
        </w:rPr>
        <w:tab/>
      </w:r>
      <w:r w:rsidR="00DA092D" w:rsidRPr="00FC650C">
        <w:rPr>
          <w:rFonts w:ascii="Times New Roman" w:eastAsiaTheme="minorHAnsi" w:hAnsi="Times New Roman" w:cs="Times New Roman"/>
          <w:sz w:val="24"/>
          <w:szCs w:val="24"/>
          <w:lang w:eastAsia="ja-JP"/>
        </w:rPr>
        <w:t>Ministère du Commerce et de l’Industrie : Etude Diagnostique sur l’Intégration du Commerce : finalisation EDIC</w:t>
      </w:r>
    </w:p>
    <w:p w:rsidR="00867725" w:rsidRPr="00FC650C" w:rsidRDefault="00867725" w:rsidP="00867725">
      <w:pPr>
        <w:tabs>
          <w:tab w:val="left" w:pos="1176"/>
          <w:tab w:val="left" w:pos="1350"/>
          <w:tab w:val="left" w:pos="1440"/>
        </w:tabs>
        <w:spacing w:after="0" w:line="240" w:lineRule="auto"/>
        <w:rPr>
          <w:rFonts w:ascii="Times New Roman" w:eastAsiaTheme="minorHAnsi" w:hAnsi="Times New Roman" w:cs="Times New Roman"/>
          <w:sz w:val="24"/>
          <w:szCs w:val="24"/>
          <w:lang w:eastAsia="ja-JP"/>
        </w:rPr>
      </w:pPr>
    </w:p>
    <w:p w:rsidR="00E71955" w:rsidRPr="00FC650C" w:rsidRDefault="00E71955" w:rsidP="008930F9">
      <w:pPr>
        <w:tabs>
          <w:tab w:val="left" w:pos="1176"/>
          <w:tab w:val="left" w:pos="1350"/>
          <w:tab w:val="left" w:pos="1440"/>
          <w:tab w:val="left" w:pos="9180"/>
          <w:tab w:val="left" w:pos="9270"/>
          <w:tab w:val="left" w:pos="9360"/>
        </w:tabs>
        <w:spacing w:after="0" w:line="240" w:lineRule="auto"/>
        <w:ind w:left="1440" w:hanging="1080"/>
        <w:rPr>
          <w:rFonts w:ascii="Times New Roman" w:hAnsi="Times New Roman" w:cs="Times New Roman"/>
          <w:sz w:val="24"/>
          <w:szCs w:val="24"/>
        </w:rPr>
      </w:pPr>
      <w:r w:rsidRPr="00FC650C">
        <w:rPr>
          <w:rFonts w:ascii="Times New Roman" w:eastAsiaTheme="minorHAnsi" w:hAnsi="Times New Roman" w:cs="Times New Roman"/>
          <w:sz w:val="24"/>
          <w:szCs w:val="24"/>
          <w:lang w:eastAsia="ja-JP"/>
        </w:rPr>
        <w:t>VI)</w:t>
      </w:r>
      <w:r w:rsidRPr="00FC650C">
        <w:rPr>
          <w:rFonts w:ascii="Times New Roman" w:eastAsiaTheme="minorHAnsi" w:hAnsi="Times New Roman" w:cs="Times New Roman"/>
          <w:sz w:val="24"/>
          <w:szCs w:val="24"/>
          <w:lang w:eastAsia="ja-JP"/>
        </w:rPr>
        <w:tab/>
        <w:t>Coopération avec les autres associations du Secteur Privé</w:t>
      </w:r>
      <w:r w:rsidR="001C6F0F">
        <w:rPr>
          <w:rFonts w:ascii="Times New Roman" w:eastAsiaTheme="minorHAnsi" w:hAnsi="Times New Roman" w:cs="Times New Roman"/>
          <w:sz w:val="24"/>
          <w:szCs w:val="24"/>
          <w:lang w:eastAsia="ja-JP"/>
        </w:rPr>
        <w:t xml:space="preserve"> -------------------------------</w:t>
      </w:r>
      <w:r w:rsidR="001C6F0F">
        <w:rPr>
          <w:rFonts w:ascii="Times New Roman" w:eastAsiaTheme="minorHAnsi" w:hAnsi="Times New Roman" w:cs="Times New Roman"/>
          <w:sz w:val="24"/>
          <w:szCs w:val="24"/>
          <w:lang w:eastAsia="ja-JP"/>
        </w:rPr>
        <w:tab/>
      </w:r>
      <w:r w:rsidR="008930F9">
        <w:rPr>
          <w:rFonts w:ascii="Times New Roman" w:eastAsiaTheme="minorHAnsi" w:hAnsi="Times New Roman" w:cs="Times New Roman"/>
          <w:sz w:val="24"/>
          <w:szCs w:val="24"/>
          <w:lang w:eastAsia="ja-JP"/>
        </w:rPr>
        <w:tab/>
      </w:r>
      <w:r w:rsidR="001C6F0F">
        <w:rPr>
          <w:rFonts w:ascii="Times New Roman" w:eastAsiaTheme="minorHAnsi" w:hAnsi="Times New Roman" w:cs="Times New Roman"/>
          <w:sz w:val="24"/>
          <w:szCs w:val="24"/>
          <w:lang w:eastAsia="ja-JP"/>
        </w:rPr>
        <w:t>page 8</w:t>
      </w:r>
    </w:p>
    <w:p w:rsidR="00175687" w:rsidRPr="00FC650C" w:rsidRDefault="00E71955" w:rsidP="00E71955">
      <w:pPr>
        <w:tabs>
          <w:tab w:val="left" w:pos="1176"/>
        </w:tabs>
        <w:spacing w:after="0"/>
        <w:rPr>
          <w:rFonts w:ascii="Times New Roman" w:hAnsi="Times New Roman" w:cs="Times New Roman"/>
          <w:sz w:val="24"/>
          <w:szCs w:val="24"/>
        </w:rPr>
      </w:pPr>
      <w:r w:rsidRPr="00FC650C">
        <w:rPr>
          <w:rFonts w:ascii="Times New Roman" w:hAnsi="Times New Roman" w:cs="Times New Roman"/>
          <w:sz w:val="24"/>
          <w:szCs w:val="24"/>
        </w:rPr>
        <w:tab/>
        <w:t>ADIH : Code du Travail</w:t>
      </w:r>
    </w:p>
    <w:p w:rsidR="006E6A1C" w:rsidRPr="00FC650C" w:rsidRDefault="00E71955" w:rsidP="006E6A1C">
      <w:pPr>
        <w:tabs>
          <w:tab w:val="left" w:pos="1176"/>
        </w:tabs>
        <w:spacing w:after="0"/>
        <w:ind w:left="1080"/>
        <w:rPr>
          <w:rFonts w:ascii="Times New Roman" w:hAnsi="Times New Roman" w:cs="Times New Roman"/>
          <w:sz w:val="24"/>
          <w:szCs w:val="24"/>
        </w:rPr>
      </w:pPr>
      <w:r w:rsidRPr="00FC650C">
        <w:rPr>
          <w:rFonts w:ascii="Times New Roman" w:hAnsi="Times New Roman" w:cs="Times New Roman"/>
          <w:sz w:val="24"/>
          <w:szCs w:val="24"/>
        </w:rPr>
        <w:tab/>
        <w:t xml:space="preserve">Forum économique : désignation des membres du CAOSS et du Conseil des </w:t>
      </w:r>
      <w:r w:rsidR="006E6A1C" w:rsidRPr="00FC650C">
        <w:rPr>
          <w:rFonts w:ascii="Times New Roman" w:hAnsi="Times New Roman" w:cs="Times New Roman"/>
          <w:sz w:val="24"/>
          <w:szCs w:val="24"/>
        </w:rPr>
        <w:t xml:space="preserve">  </w:t>
      </w:r>
    </w:p>
    <w:p w:rsidR="00E71955" w:rsidRPr="00FC650C" w:rsidRDefault="006E6A1C" w:rsidP="006E6A1C">
      <w:pPr>
        <w:tabs>
          <w:tab w:val="left" w:pos="1176"/>
        </w:tabs>
        <w:spacing w:after="0"/>
        <w:ind w:left="1080"/>
        <w:rPr>
          <w:rFonts w:ascii="Times New Roman" w:hAnsi="Times New Roman" w:cs="Times New Roman"/>
          <w:sz w:val="24"/>
          <w:szCs w:val="24"/>
        </w:rPr>
      </w:pPr>
      <w:r w:rsidRPr="00FC650C">
        <w:rPr>
          <w:rFonts w:ascii="Times New Roman" w:hAnsi="Times New Roman" w:cs="Times New Roman"/>
          <w:sz w:val="24"/>
          <w:szCs w:val="24"/>
        </w:rPr>
        <w:tab/>
      </w:r>
      <w:r w:rsidR="00E71955" w:rsidRPr="00FC650C">
        <w:rPr>
          <w:rFonts w:ascii="Times New Roman" w:hAnsi="Times New Roman" w:cs="Times New Roman"/>
          <w:sz w:val="24"/>
          <w:szCs w:val="24"/>
        </w:rPr>
        <w:t>Salaires</w:t>
      </w:r>
    </w:p>
    <w:p w:rsidR="00867725" w:rsidRPr="00FC650C" w:rsidRDefault="00867725" w:rsidP="00E71955">
      <w:pPr>
        <w:tabs>
          <w:tab w:val="left" w:pos="1176"/>
        </w:tabs>
        <w:spacing w:after="0"/>
        <w:rPr>
          <w:rFonts w:ascii="Times New Roman" w:hAnsi="Times New Roman" w:cs="Times New Roman"/>
          <w:sz w:val="24"/>
          <w:szCs w:val="24"/>
        </w:rPr>
      </w:pPr>
    </w:p>
    <w:p w:rsidR="00E71955" w:rsidRPr="00FC650C" w:rsidRDefault="00684F67" w:rsidP="00B53CE1">
      <w:pPr>
        <w:pStyle w:val="ListParagraph"/>
        <w:numPr>
          <w:ilvl w:val="0"/>
          <w:numId w:val="9"/>
        </w:numPr>
        <w:tabs>
          <w:tab w:val="left" w:pos="1176"/>
          <w:tab w:val="left" w:pos="9180"/>
          <w:tab w:val="left" w:pos="9360"/>
        </w:tabs>
        <w:spacing w:after="0" w:line="240" w:lineRule="auto"/>
        <w:rPr>
          <w:rFonts w:ascii="Times New Roman" w:hAnsi="Times New Roman" w:cs="Times New Roman"/>
          <w:sz w:val="24"/>
          <w:szCs w:val="24"/>
        </w:rPr>
      </w:pPr>
      <w:r w:rsidRPr="00FC650C">
        <w:rPr>
          <w:rFonts w:ascii="Times New Roman" w:hAnsi="Times New Roman" w:cs="Times New Roman"/>
          <w:sz w:val="24"/>
          <w:szCs w:val="24"/>
        </w:rPr>
        <w:lastRenderedPageBreak/>
        <w:t>Cours de Formation</w:t>
      </w:r>
      <w:r w:rsidR="00B53CE1">
        <w:rPr>
          <w:rFonts w:ascii="Times New Roman" w:hAnsi="Times New Roman" w:cs="Times New Roman"/>
          <w:sz w:val="24"/>
          <w:szCs w:val="24"/>
        </w:rPr>
        <w:t xml:space="preserve"> -----------------------------------------------------------------------------</w:t>
      </w:r>
      <w:r w:rsidR="00B53CE1">
        <w:rPr>
          <w:rFonts w:ascii="Times New Roman" w:hAnsi="Times New Roman" w:cs="Times New Roman"/>
          <w:sz w:val="24"/>
          <w:szCs w:val="24"/>
        </w:rPr>
        <w:tab/>
        <w:t xml:space="preserve">page </w:t>
      </w:r>
      <w:r w:rsidR="005F7839">
        <w:rPr>
          <w:rFonts w:ascii="Times New Roman" w:hAnsi="Times New Roman" w:cs="Times New Roman"/>
          <w:sz w:val="24"/>
          <w:szCs w:val="24"/>
        </w:rPr>
        <w:t>8</w:t>
      </w:r>
    </w:p>
    <w:p w:rsidR="006E6A1C" w:rsidRPr="00FC650C" w:rsidRDefault="006E6A1C" w:rsidP="006E6A1C">
      <w:pPr>
        <w:pStyle w:val="ListParagraph"/>
        <w:tabs>
          <w:tab w:val="left" w:pos="1176"/>
        </w:tabs>
        <w:spacing w:after="0" w:line="240" w:lineRule="auto"/>
        <w:ind w:left="1080"/>
        <w:rPr>
          <w:rFonts w:ascii="Times New Roman" w:hAnsi="Times New Roman" w:cs="Times New Roman"/>
          <w:sz w:val="24"/>
          <w:szCs w:val="24"/>
        </w:rPr>
      </w:pPr>
    </w:p>
    <w:p w:rsidR="006E6A1C" w:rsidRPr="0050225A" w:rsidRDefault="008E6536" w:rsidP="00E31570">
      <w:pPr>
        <w:pStyle w:val="ListParagraph"/>
        <w:numPr>
          <w:ilvl w:val="0"/>
          <w:numId w:val="9"/>
        </w:numPr>
        <w:tabs>
          <w:tab w:val="left" w:pos="1176"/>
          <w:tab w:val="left" w:pos="9180"/>
          <w:tab w:val="left" w:pos="9270"/>
          <w:tab w:val="left" w:pos="9360"/>
        </w:tabs>
        <w:spacing w:after="0" w:line="240" w:lineRule="auto"/>
        <w:rPr>
          <w:rFonts w:ascii="Times New Roman" w:hAnsi="Times New Roman" w:cs="Times New Roman"/>
          <w:sz w:val="24"/>
          <w:szCs w:val="24"/>
        </w:rPr>
      </w:pPr>
      <w:r w:rsidRPr="00FC650C">
        <w:rPr>
          <w:rFonts w:ascii="Times New Roman" w:hAnsi="Times New Roman" w:cs="Times New Roman"/>
          <w:sz w:val="24"/>
          <w:szCs w:val="24"/>
        </w:rPr>
        <w:t>Note aux Etat Financiers</w:t>
      </w:r>
      <w:r w:rsidR="00E31570">
        <w:rPr>
          <w:rFonts w:ascii="Times New Roman" w:hAnsi="Times New Roman" w:cs="Times New Roman"/>
          <w:sz w:val="24"/>
          <w:szCs w:val="24"/>
        </w:rPr>
        <w:t xml:space="preserve"> -----------------------------------------------------------------------</w:t>
      </w:r>
      <w:r w:rsidR="00E31570">
        <w:rPr>
          <w:rFonts w:ascii="Times New Roman" w:hAnsi="Times New Roman" w:cs="Times New Roman"/>
          <w:sz w:val="24"/>
          <w:szCs w:val="24"/>
        </w:rPr>
        <w:tab/>
        <w:t xml:space="preserve">  </w:t>
      </w:r>
      <w:r w:rsidR="00E31570" w:rsidRPr="0050225A">
        <w:rPr>
          <w:rFonts w:ascii="Times New Roman" w:hAnsi="Times New Roman" w:cs="Times New Roman"/>
          <w:sz w:val="24"/>
          <w:szCs w:val="24"/>
        </w:rPr>
        <w:t>page 10</w:t>
      </w:r>
    </w:p>
    <w:p w:rsidR="006E6A1C" w:rsidRPr="00FC650C" w:rsidRDefault="006E6A1C" w:rsidP="006E6A1C">
      <w:pPr>
        <w:pStyle w:val="ListParagraph"/>
        <w:rPr>
          <w:rFonts w:ascii="Times New Roman" w:hAnsi="Times New Roman" w:cs="Times New Roman"/>
          <w:sz w:val="24"/>
          <w:szCs w:val="24"/>
        </w:rPr>
      </w:pPr>
    </w:p>
    <w:p w:rsidR="008E6536" w:rsidRPr="00FC650C" w:rsidRDefault="008E6536" w:rsidP="005B6D4E">
      <w:pPr>
        <w:pStyle w:val="ListParagraph"/>
        <w:numPr>
          <w:ilvl w:val="0"/>
          <w:numId w:val="9"/>
        </w:numPr>
        <w:tabs>
          <w:tab w:val="left" w:pos="1176"/>
          <w:tab w:val="left" w:pos="9090"/>
          <w:tab w:val="left" w:pos="9180"/>
          <w:tab w:val="left" w:pos="9360"/>
          <w:tab w:val="left" w:pos="10800"/>
        </w:tabs>
        <w:spacing w:after="0" w:line="240" w:lineRule="auto"/>
        <w:rPr>
          <w:rFonts w:ascii="Times New Roman" w:hAnsi="Times New Roman" w:cs="Times New Roman"/>
          <w:sz w:val="24"/>
          <w:szCs w:val="24"/>
        </w:rPr>
      </w:pPr>
      <w:r w:rsidRPr="00FC650C">
        <w:rPr>
          <w:rFonts w:ascii="Times New Roman" w:hAnsi="Times New Roman" w:cs="Times New Roman"/>
          <w:sz w:val="24"/>
          <w:szCs w:val="24"/>
        </w:rPr>
        <w:t>Etats Financiers</w:t>
      </w:r>
      <w:r w:rsidR="005B6D4E">
        <w:rPr>
          <w:rFonts w:ascii="Times New Roman" w:hAnsi="Times New Roman" w:cs="Times New Roman"/>
          <w:sz w:val="24"/>
          <w:szCs w:val="24"/>
        </w:rPr>
        <w:t xml:space="preserve"> ----------------------------------------------------------------------------------</w:t>
      </w:r>
      <w:r w:rsidR="005B6D4E">
        <w:rPr>
          <w:rFonts w:ascii="Times New Roman" w:hAnsi="Times New Roman" w:cs="Times New Roman"/>
          <w:sz w:val="24"/>
          <w:szCs w:val="24"/>
        </w:rPr>
        <w:tab/>
        <w:t>page 13</w:t>
      </w:r>
    </w:p>
    <w:p w:rsidR="006E6A1C" w:rsidRPr="00FC650C" w:rsidRDefault="006E6A1C" w:rsidP="006E6A1C">
      <w:pPr>
        <w:pStyle w:val="ListParagraph"/>
        <w:rPr>
          <w:rFonts w:ascii="Times New Roman" w:hAnsi="Times New Roman" w:cs="Times New Roman"/>
          <w:sz w:val="24"/>
          <w:szCs w:val="24"/>
        </w:rPr>
      </w:pPr>
    </w:p>
    <w:p w:rsidR="008E6536" w:rsidRPr="00FC650C" w:rsidRDefault="008E6536" w:rsidP="00D546F0">
      <w:pPr>
        <w:pStyle w:val="ListParagraph"/>
        <w:numPr>
          <w:ilvl w:val="0"/>
          <w:numId w:val="9"/>
        </w:numPr>
        <w:tabs>
          <w:tab w:val="left" w:pos="1176"/>
          <w:tab w:val="left" w:pos="9180"/>
          <w:tab w:val="left" w:pos="9270"/>
          <w:tab w:val="left" w:pos="9360"/>
        </w:tabs>
        <w:spacing w:after="0" w:line="240" w:lineRule="auto"/>
        <w:rPr>
          <w:rFonts w:ascii="Times New Roman" w:hAnsi="Times New Roman" w:cs="Times New Roman"/>
          <w:sz w:val="24"/>
          <w:szCs w:val="24"/>
        </w:rPr>
      </w:pPr>
      <w:r w:rsidRPr="00FC650C">
        <w:rPr>
          <w:rFonts w:ascii="Times New Roman" w:hAnsi="Times New Roman" w:cs="Times New Roman"/>
          <w:sz w:val="24"/>
          <w:szCs w:val="24"/>
        </w:rPr>
        <w:t>Proposition de budget</w:t>
      </w:r>
      <w:r w:rsidR="00D546F0">
        <w:rPr>
          <w:rFonts w:ascii="Times New Roman" w:hAnsi="Times New Roman" w:cs="Times New Roman"/>
          <w:sz w:val="24"/>
          <w:szCs w:val="24"/>
        </w:rPr>
        <w:t xml:space="preserve"> ---------------------------------------------------------------------------</w:t>
      </w:r>
      <w:r w:rsidR="00D546F0">
        <w:rPr>
          <w:rFonts w:ascii="Times New Roman" w:hAnsi="Times New Roman" w:cs="Times New Roman"/>
          <w:sz w:val="24"/>
          <w:szCs w:val="24"/>
        </w:rPr>
        <w:tab/>
      </w:r>
      <w:r w:rsidR="00D546F0">
        <w:rPr>
          <w:rFonts w:ascii="Times New Roman" w:hAnsi="Times New Roman" w:cs="Times New Roman"/>
          <w:sz w:val="24"/>
          <w:szCs w:val="24"/>
        </w:rPr>
        <w:tab/>
        <w:t xml:space="preserve">page </w:t>
      </w:r>
    </w:p>
    <w:p w:rsidR="007D3B43" w:rsidRDefault="007D3B43" w:rsidP="008E6536">
      <w:pPr>
        <w:pStyle w:val="ListParagraph"/>
        <w:tabs>
          <w:tab w:val="left" w:pos="1176"/>
        </w:tabs>
        <w:spacing w:after="0"/>
        <w:ind w:left="1080"/>
        <w:rPr>
          <w:rFonts w:cs="Times New Roman"/>
          <w:sz w:val="28"/>
          <w:szCs w:val="28"/>
        </w:rPr>
      </w:pPr>
    </w:p>
    <w:p w:rsidR="00EE5357" w:rsidRDefault="00EE5357" w:rsidP="008E6536">
      <w:pPr>
        <w:pStyle w:val="ListParagraph"/>
        <w:tabs>
          <w:tab w:val="left" w:pos="1176"/>
        </w:tabs>
        <w:spacing w:after="0"/>
        <w:ind w:left="1080"/>
        <w:rPr>
          <w:rFonts w:cs="Times New Roman"/>
          <w:sz w:val="28"/>
          <w:szCs w:val="28"/>
        </w:rPr>
      </w:pPr>
    </w:p>
    <w:p w:rsidR="00EE5357" w:rsidRDefault="00EE5357" w:rsidP="008E6536">
      <w:pPr>
        <w:pStyle w:val="ListParagraph"/>
        <w:tabs>
          <w:tab w:val="left" w:pos="1176"/>
        </w:tabs>
        <w:spacing w:after="0"/>
        <w:ind w:left="1080"/>
        <w:rPr>
          <w:rFonts w:cs="Times New Roman"/>
          <w:sz w:val="28"/>
          <w:szCs w:val="28"/>
        </w:rPr>
      </w:pPr>
    </w:p>
    <w:p w:rsidR="00EE5357" w:rsidRDefault="00EE5357" w:rsidP="008E6536">
      <w:pPr>
        <w:pStyle w:val="ListParagraph"/>
        <w:tabs>
          <w:tab w:val="left" w:pos="1176"/>
        </w:tabs>
        <w:spacing w:after="0"/>
        <w:ind w:left="1080"/>
        <w:rPr>
          <w:rFonts w:cs="Times New Roman"/>
          <w:sz w:val="28"/>
          <w:szCs w:val="28"/>
        </w:rPr>
      </w:pPr>
    </w:p>
    <w:p w:rsidR="00EE5357" w:rsidRDefault="00EE5357" w:rsidP="008E6536">
      <w:pPr>
        <w:pStyle w:val="ListParagraph"/>
        <w:tabs>
          <w:tab w:val="left" w:pos="1176"/>
        </w:tabs>
        <w:spacing w:after="0"/>
        <w:ind w:left="1080"/>
        <w:rPr>
          <w:rFonts w:cs="Times New Roman"/>
          <w:sz w:val="28"/>
          <w:szCs w:val="28"/>
        </w:rPr>
      </w:pPr>
    </w:p>
    <w:p w:rsidR="00EE5357" w:rsidRDefault="00EE5357" w:rsidP="008E6536">
      <w:pPr>
        <w:pStyle w:val="ListParagraph"/>
        <w:tabs>
          <w:tab w:val="left" w:pos="1176"/>
        </w:tabs>
        <w:spacing w:after="0"/>
        <w:ind w:left="1080"/>
        <w:rPr>
          <w:rFonts w:cs="Times New Roman"/>
          <w:sz w:val="28"/>
          <w:szCs w:val="28"/>
        </w:rPr>
      </w:pPr>
    </w:p>
    <w:p w:rsidR="00EE5357" w:rsidRDefault="00EE5357" w:rsidP="008E6536">
      <w:pPr>
        <w:pStyle w:val="ListParagraph"/>
        <w:tabs>
          <w:tab w:val="left" w:pos="1176"/>
        </w:tabs>
        <w:spacing w:after="0"/>
        <w:ind w:left="1080"/>
        <w:rPr>
          <w:rFonts w:cs="Times New Roman"/>
          <w:sz w:val="28"/>
          <w:szCs w:val="28"/>
        </w:rPr>
      </w:pPr>
    </w:p>
    <w:p w:rsidR="00EE5357" w:rsidRDefault="00EE5357" w:rsidP="008E6536">
      <w:pPr>
        <w:pStyle w:val="ListParagraph"/>
        <w:tabs>
          <w:tab w:val="left" w:pos="1176"/>
        </w:tabs>
        <w:spacing w:after="0"/>
        <w:ind w:left="1080"/>
        <w:rPr>
          <w:rFonts w:cs="Times New Roman"/>
          <w:sz w:val="28"/>
          <w:szCs w:val="28"/>
        </w:rPr>
      </w:pPr>
    </w:p>
    <w:p w:rsidR="00EE5357" w:rsidRDefault="00EE5357" w:rsidP="008E6536">
      <w:pPr>
        <w:pStyle w:val="ListParagraph"/>
        <w:tabs>
          <w:tab w:val="left" w:pos="1176"/>
        </w:tabs>
        <w:spacing w:after="0"/>
        <w:ind w:left="1080"/>
        <w:rPr>
          <w:rFonts w:cs="Times New Roman"/>
          <w:sz w:val="28"/>
          <w:szCs w:val="28"/>
        </w:rPr>
      </w:pPr>
    </w:p>
    <w:p w:rsidR="00EE5357" w:rsidRDefault="00EE5357" w:rsidP="008E6536">
      <w:pPr>
        <w:pStyle w:val="ListParagraph"/>
        <w:tabs>
          <w:tab w:val="left" w:pos="1176"/>
        </w:tabs>
        <w:spacing w:after="0"/>
        <w:ind w:left="1080"/>
        <w:rPr>
          <w:rFonts w:cs="Times New Roman"/>
          <w:sz w:val="28"/>
          <w:szCs w:val="28"/>
        </w:rPr>
      </w:pPr>
    </w:p>
    <w:p w:rsidR="00EE5357" w:rsidRDefault="00EE5357" w:rsidP="008E6536">
      <w:pPr>
        <w:pStyle w:val="ListParagraph"/>
        <w:tabs>
          <w:tab w:val="left" w:pos="1176"/>
        </w:tabs>
        <w:spacing w:after="0"/>
        <w:ind w:left="1080"/>
        <w:rPr>
          <w:rFonts w:cs="Times New Roman"/>
          <w:sz w:val="28"/>
          <w:szCs w:val="28"/>
        </w:rPr>
      </w:pPr>
    </w:p>
    <w:p w:rsidR="00EE5357" w:rsidRDefault="00EE5357" w:rsidP="008E6536">
      <w:pPr>
        <w:pStyle w:val="ListParagraph"/>
        <w:tabs>
          <w:tab w:val="left" w:pos="1176"/>
        </w:tabs>
        <w:spacing w:after="0"/>
        <w:ind w:left="1080"/>
        <w:rPr>
          <w:rFonts w:cs="Times New Roman"/>
          <w:sz w:val="28"/>
          <w:szCs w:val="28"/>
        </w:rPr>
      </w:pPr>
    </w:p>
    <w:p w:rsidR="00EE5357" w:rsidRDefault="00EE5357" w:rsidP="008E6536">
      <w:pPr>
        <w:pStyle w:val="ListParagraph"/>
        <w:tabs>
          <w:tab w:val="left" w:pos="1176"/>
        </w:tabs>
        <w:spacing w:after="0"/>
        <w:ind w:left="1080"/>
        <w:rPr>
          <w:rFonts w:cs="Times New Roman"/>
          <w:sz w:val="28"/>
          <w:szCs w:val="28"/>
        </w:rPr>
      </w:pPr>
    </w:p>
    <w:p w:rsidR="00EE5357" w:rsidRDefault="00EE5357" w:rsidP="008E6536">
      <w:pPr>
        <w:pStyle w:val="ListParagraph"/>
        <w:tabs>
          <w:tab w:val="left" w:pos="1176"/>
        </w:tabs>
        <w:spacing w:after="0"/>
        <w:ind w:left="1080"/>
        <w:rPr>
          <w:rFonts w:cs="Times New Roman"/>
          <w:sz w:val="28"/>
          <w:szCs w:val="28"/>
        </w:rPr>
      </w:pPr>
    </w:p>
    <w:p w:rsidR="00FC650C" w:rsidRDefault="00FC650C" w:rsidP="008E6536">
      <w:pPr>
        <w:pStyle w:val="ListParagraph"/>
        <w:tabs>
          <w:tab w:val="left" w:pos="1176"/>
        </w:tabs>
        <w:spacing w:after="0"/>
        <w:ind w:left="1080"/>
        <w:rPr>
          <w:rFonts w:cs="Times New Roman"/>
          <w:sz w:val="28"/>
          <w:szCs w:val="28"/>
        </w:rPr>
      </w:pPr>
    </w:p>
    <w:p w:rsidR="00FC650C" w:rsidRDefault="00FC650C" w:rsidP="008E6536">
      <w:pPr>
        <w:pStyle w:val="ListParagraph"/>
        <w:tabs>
          <w:tab w:val="left" w:pos="1176"/>
        </w:tabs>
        <w:spacing w:after="0"/>
        <w:ind w:left="1080"/>
        <w:rPr>
          <w:rFonts w:cs="Times New Roman"/>
          <w:sz w:val="28"/>
          <w:szCs w:val="28"/>
        </w:rPr>
      </w:pPr>
    </w:p>
    <w:p w:rsidR="00FC650C" w:rsidRDefault="00FC650C" w:rsidP="008E6536">
      <w:pPr>
        <w:pStyle w:val="ListParagraph"/>
        <w:tabs>
          <w:tab w:val="left" w:pos="1176"/>
        </w:tabs>
        <w:spacing w:after="0"/>
        <w:ind w:left="1080"/>
        <w:rPr>
          <w:rFonts w:cs="Times New Roman"/>
          <w:sz w:val="28"/>
          <w:szCs w:val="28"/>
        </w:rPr>
      </w:pPr>
    </w:p>
    <w:p w:rsidR="00FC650C" w:rsidRDefault="00FC650C" w:rsidP="008E6536">
      <w:pPr>
        <w:pStyle w:val="ListParagraph"/>
        <w:tabs>
          <w:tab w:val="left" w:pos="1176"/>
        </w:tabs>
        <w:spacing w:after="0"/>
        <w:ind w:left="1080"/>
        <w:rPr>
          <w:rFonts w:cs="Times New Roman"/>
          <w:sz w:val="28"/>
          <w:szCs w:val="28"/>
        </w:rPr>
      </w:pPr>
    </w:p>
    <w:p w:rsidR="00FC650C" w:rsidRDefault="00FC650C" w:rsidP="008E6536">
      <w:pPr>
        <w:pStyle w:val="ListParagraph"/>
        <w:tabs>
          <w:tab w:val="left" w:pos="1176"/>
        </w:tabs>
        <w:spacing w:after="0"/>
        <w:ind w:left="1080"/>
        <w:rPr>
          <w:rFonts w:cs="Times New Roman"/>
          <w:sz w:val="28"/>
          <w:szCs w:val="28"/>
        </w:rPr>
      </w:pPr>
    </w:p>
    <w:p w:rsidR="00FC650C" w:rsidRDefault="00FC650C" w:rsidP="008E6536">
      <w:pPr>
        <w:pStyle w:val="ListParagraph"/>
        <w:tabs>
          <w:tab w:val="left" w:pos="1176"/>
        </w:tabs>
        <w:spacing w:after="0"/>
        <w:ind w:left="1080"/>
        <w:rPr>
          <w:rFonts w:cs="Times New Roman"/>
          <w:sz w:val="28"/>
          <w:szCs w:val="28"/>
        </w:rPr>
      </w:pPr>
    </w:p>
    <w:p w:rsidR="00FC650C" w:rsidRDefault="00FC650C" w:rsidP="008E6536">
      <w:pPr>
        <w:pStyle w:val="ListParagraph"/>
        <w:tabs>
          <w:tab w:val="left" w:pos="1176"/>
        </w:tabs>
        <w:spacing w:after="0"/>
        <w:ind w:left="1080"/>
        <w:rPr>
          <w:rFonts w:cs="Times New Roman"/>
          <w:sz w:val="28"/>
          <w:szCs w:val="28"/>
        </w:rPr>
      </w:pPr>
    </w:p>
    <w:p w:rsidR="00FC650C" w:rsidRDefault="00FC650C" w:rsidP="008E6536">
      <w:pPr>
        <w:pStyle w:val="ListParagraph"/>
        <w:tabs>
          <w:tab w:val="left" w:pos="1176"/>
        </w:tabs>
        <w:spacing w:after="0"/>
        <w:ind w:left="1080"/>
        <w:rPr>
          <w:rFonts w:cs="Times New Roman"/>
          <w:sz w:val="28"/>
          <w:szCs w:val="28"/>
        </w:rPr>
      </w:pPr>
    </w:p>
    <w:p w:rsidR="00FC650C" w:rsidRDefault="00FC650C" w:rsidP="008E6536">
      <w:pPr>
        <w:pStyle w:val="ListParagraph"/>
        <w:tabs>
          <w:tab w:val="left" w:pos="1176"/>
        </w:tabs>
        <w:spacing w:after="0"/>
        <w:ind w:left="1080"/>
        <w:rPr>
          <w:rFonts w:cs="Times New Roman"/>
          <w:sz w:val="28"/>
          <w:szCs w:val="28"/>
        </w:rPr>
      </w:pPr>
    </w:p>
    <w:p w:rsidR="00FC650C" w:rsidRDefault="00FC650C" w:rsidP="008E6536">
      <w:pPr>
        <w:pStyle w:val="ListParagraph"/>
        <w:tabs>
          <w:tab w:val="left" w:pos="1176"/>
        </w:tabs>
        <w:spacing w:after="0"/>
        <w:ind w:left="1080"/>
        <w:rPr>
          <w:rFonts w:cs="Times New Roman"/>
          <w:sz w:val="28"/>
          <w:szCs w:val="28"/>
        </w:rPr>
      </w:pPr>
    </w:p>
    <w:p w:rsidR="00EE5357" w:rsidRDefault="00EE5357" w:rsidP="008E6536">
      <w:pPr>
        <w:pStyle w:val="ListParagraph"/>
        <w:tabs>
          <w:tab w:val="left" w:pos="1176"/>
        </w:tabs>
        <w:spacing w:after="0"/>
        <w:ind w:left="1080"/>
        <w:rPr>
          <w:rFonts w:cs="Times New Roman"/>
          <w:sz w:val="28"/>
          <w:szCs w:val="28"/>
        </w:rPr>
      </w:pPr>
    </w:p>
    <w:p w:rsidR="00EE5357" w:rsidRDefault="00EE5357" w:rsidP="008E6536">
      <w:pPr>
        <w:pStyle w:val="ListParagraph"/>
        <w:tabs>
          <w:tab w:val="left" w:pos="1176"/>
        </w:tabs>
        <w:spacing w:after="0"/>
        <w:ind w:left="1080"/>
        <w:rPr>
          <w:rFonts w:cs="Times New Roman"/>
          <w:sz w:val="28"/>
          <w:szCs w:val="28"/>
        </w:rPr>
      </w:pPr>
    </w:p>
    <w:p w:rsidR="00EE5357" w:rsidRDefault="00EE5357" w:rsidP="008E6536">
      <w:pPr>
        <w:pStyle w:val="ListParagraph"/>
        <w:tabs>
          <w:tab w:val="left" w:pos="1176"/>
        </w:tabs>
        <w:spacing w:after="0"/>
        <w:ind w:left="1080"/>
        <w:rPr>
          <w:rFonts w:cs="Times New Roman"/>
          <w:sz w:val="28"/>
          <w:szCs w:val="28"/>
        </w:rPr>
      </w:pPr>
    </w:p>
    <w:p w:rsidR="00EE5357" w:rsidRDefault="00EE5357" w:rsidP="008E6536">
      <w:pPr>
        <w:pStyle w:val="ListParagraph"/>
        <w:tabs>
          <w:tab w:val="left" w:pos="1176"/>
        </w:tabs>
        <w:spacing w:after="0"/>
        <w:ind w:left="1080"/>
        <w:rPr>
          <w:rFonts w:cs="Times New Roman"/>
          <w:sz w:val="28"/>
          <w:szCs w:val="28"/>
        </w:rPr>
      </w:pPr>
    </w:p>
    <w:p w:rsidR="00EE5357" w:rsidRPr="001A5F38" w:rsidRDefault="00EE5357" w:rsidP="008E6536">
      <w:pPr>
        <w:pStyle w:val="ListParagraph"/>
        <w:tabs>
          <w:tab w:val="left" w:pos="1176"/>
        </w:tabs>
        <w:spacing w:after="0"/>
        <w:ind w:left="1080"/>
        <w:rPr>
          <w:rFonts w:cs="Times New Roman"/>
          <w:sz w:val="28"/>
          <w:szCs w:val="28"/>
        </w:rPr>
      </w:pPr>
    </w:p>
    <w:p w:rsidR="00EE5357" w:rsidRDefault="00EE5357" w:rsidP="00EE5357">
      <w:pPr>
        <w:pStyle w:val="ListParagraph"/>
        <w:tabs>
          <w:tab w:val="left" w:pos="1176"/>
        </w:tabs>
        <w:spacing w:after="0"/>
        <w:ind w:left="1620" w:hanging="1620"/>
        <w:jc w:val="center"/>
        <w:rPr>
          <w:rFonts w:cs="Times New Roman"/>
          <w:b/>
          <w:sz w:val="28"/>
          <w:szCs w:val="28"/>
        </w:rPr>
      </w:pPr>
      <w:r>
        <w:rPr>
          <w:rFonts w:cs="Times New Roman"/>
          <w:b/>
          <w:sz w:val="28"/>
          <w:szCs w:val="28"/>
        </w:rPr>
        <w:t>ASSOCIATION PROFESSIONNELLE DES BANQUES(APB)</w:t>
      </w:r>
    </w:p>
    <w:p w:rsidR="00EE5357" w:rsidRDefault="00EE5357" w:rsidP="00EE5357">
      <w:pPr>
        <w:pStyle w:val="ListParagraph"/>
        <w:tabs>
          <w:tab w:val="left" w:pos="1176"/>
        </w:tabs>
        <w:spacing w:after="0"/>
        <w:ind w:left="1620" w:hanging="1620"/>
        <w:jc w:val="center"/>
        <w:rPr>
          <w:rFonts w:cs="Times New Roman"/>
          <w:b/>
          <w:sz w:val="28"/>
          <w:szCs w:val="28"/>
        </w:rPr>
      </w:pPr>
      <w:r>
        <w:rPr>
          <w:rFonts w:cs="Times New Roman"/>
          <w:b/>
          <w:sz w:val="28"/>
          <w:szCs w:val="28"/>
        </w:rPr>
        <w:t>RAPPORT ANNUEL 2012-2013</w:t>
      </w:r>
    </w:p>
    <w:p w:rsidR="00EE5357" w:rsidRDefault="00EE5357" w:rsidP="008A1E87">
      <w:pPr>
        <w:pStyle w:val="ListParagraph"/>
        <w:tabs>
          <w:tab w:val="left" w:pos="1176"/>
        </w:tabs>
        <w:spacing w:after="0"/>
        <w:ind w:left="1620" w:hanging="1620"/>
        <w:rPr>
          <w:rFonts w:cs="Times New Roman"/>
          <w:b/>
          <w:sz w:val="28"/>
          <w:szCs w:val="28"/>
        </w:rPr>
      </w:pPr>
    </w:p>
    <w:p w:rsidR="00772122" w:rsidRPr="001A5F38" w:rsidRDefault="00D25534" w:rsidP="008A1E87">
      <w:pPr>
        <w:pStyle w:val="ListParagraph"/>
        <w:tabs>
          <w:tab w:val="left" w:pos="1176"/>
        </w:tabs>
        <w:spacing w:after="0"/>
        <w:ind w:left="1620" w:hanging="1620"/>
        <w:rPr>
          <w:rFonts w:cs="Times New Roman"/>
          <w:sz w:val="28"/>
          <w:szCs w:val="28"/>
        </w:rPr>
      </w:pPr>
      <w:r w:rsidRPr="001A5F38">
        <w:rPr>
          <w:rFonts w:cs="Times New Roman"/>
          <w:b/>
          <w:sz w:val="28"/>
          <w:szCs w:val="28"/>
        </w:rPr>
        <w:t>I)</w:t>
      </w:r>
      <w:r w:rsidR="008A1E87" w:rsidRPr="001A5F38">
        <w:rPr>
          <w:rFonts w:cs="Times New Roman"/>
          <w:sz w:val="28"/>
          <w:szCs w:val="28"/>
        </w:rPr>
        <w:t xml:space="preserve"> </w:t>
      </w:r>
      <w:r w:rsidR="00303985" w:rsidRPr="001A5F38">
        <w:rPr>
          <w:rFonts w:cs="Times New Roman"/>
          <w:sz w:val="28"/>
          <w:szCs w:val="28"/>
        </w:rPr>
        <w:t xml:space="preserve"> </w:t>
      </w:r>
      <w:r w:rsidR="000A7231" w:rsidRPr="001A5F38">
        <w:rPr>
          <w:rFonts w:cs="Times New Roman"/>
          <w:b/>
          <w:sz w:val="28"/>
          <w:szCs w:val="28"/>
          <w:u w:val="single"/>
        </w:rPr>
        <w:t>Faits saillants dans le domaine monétaire</w:t>
      </w:r>
    </w:p>
    <w:p w:rsidR="008A1E87" w:rsidRPr="001A5F38" w:rsidRDefault="008A1E87" w:rsidP="008A1E87">
      <w:pPr>
        <w:pStyle w:val="ListParagraph"/>
        <w:tabs>
          <w:tab w:val="left" w:pos="1176"/>
        </w:tabs>
        <w:spacing w:after="0"/>
        <w:ind w:left="1620" w:hanging="1620"/>
        <w:rPr>
          <w:rFonts w:cs="Times New Roman"/>
          <w:sz w:val="28"/>
          <w:szCs w:val="28"/>
        </w:rPr>
      </w:pPr>
    </w:p>
    <w:p w:rsidR="000A7231" w:rsidRPr="002241B1" w:rsidRDefault="00E27A1D" w:rsidP="00772122">
      <w:pPr>
        <w:tabs>
          <w:tab w:val="left" w:pos="1176"/>
        </w:tabs>
        <w:spacing w:after="0"/>
        <w:jc w:val="both"/>
        <w:rPr>
          <w:rFonts w:ascii="Times New Roman" w:hAnsi="Times New Roman" w:cs="Times New Roman"/>
          <w:sz w:val="24"/>
          <w:szCs w:val="24"/>
        </w:rPr>
      </w:pPr>
      <w:r w:rsidRPr="002241B1">
        <w:rPr>
          <w:rFonts w:ascii="Times New Roman" w:hAnsi="Times New Roman" w:cs="Times New Roman"/>
          <w:sz w:val="24"/>
          <w:szCs w:val="24"/>
        </w:rPr>
        <w:t>Pour la deuxième année consécutive</w:t>
      </w:r>
      <w:r w:rsidR="002825A7" w:rsidRPr="002241B1">
        <w:rPr>
          <w:rFonts w:ascii="Times New Roman" w:hAnsi="Times New Roman" w:cs="Times New Roman"/>
          <w:sz w:val="24"/>
          <w:szCs w:val="24"/>
        </w:rPr>
        <w:t>, le crédit à l’économie est en nette progression passant de 38.6 milliards de gourdes en 2010/2011 à 51.8 milliards en 2011/2012</w:t>
      </w:r>
      <w:r w:rsidR="00470DCD" w:rsidRPr="002241B1">
        <w:rPr>
          <w:rFonts w:ascii="Times New Roman" w:hAnsi="Times New Roman" w:cs="Times New Roman"/>
          <w:sz w:val="24"/>
          <w:szCs w:val="24"/>
        </w:rPr>
        <w:t xml:space="preserve"> soit une croissance de 34</w:t>
      </w:r>
      <w:r w:rsidR="00125702" w:rsidRPr="002241B1">
        <w:rPr>
          <w:rFonts w:ascii="Times New Roman" w:hAnsi="Times New Roman" w:cs="Times New Roman"/>
          <w:sz w:val="24"/>
          <w:szCs w:val="24"/>
        </w:rPr>
        <w:t>%</w:t>
      </w:r>
      <w:r w:rsidR="0024734A" w:rsidRPr="002241B1">
        <w:rPr>
          <w:rFonts w:ascii="Times New Roman" w:hAnsi="Times New Roman" w:cs="Times New Roman"/>
          <w:sz w:val="24"/>
          <w:szCs w:val="24"/>
        </w:rPr>
        <w:t xml:space="preserve"> (toutes monnaies confondues).</w:t>
      </w:r>
      <w:r w:rsidR="00646EC4" w:rsidRPr="002241B1">
        <w:rPr>
          <w:rFonts w:ascii="Times New Roman" w:hAnsi="Times New Roman" w:cs="Times New Roman"/>
          <w:sz w:val="24"/>
          <w:szCs w:val="24"/>
        </w:rPr>
        <w:t xml:space="preserve"> La tendance à la hausse s’est </w:t>
      </w:r>
      <w:r w:rsidR="0024734A" w:rsidRPr="002241B1">
        <w:rPr>
          <w:rFonts w:ascii="Times New Roman" w:hAnsi="Times New Roman" w:cs="Times New Roman"/>
          <w:sz w:val="24"/>
          <w:szCs w:val="24"/>
        </w:rPr>
        <w:t>maintenue en 2012/201</w:t>
      </w:r>
      <w:r w:rsidR="00405E04" w:rsidRPr="002241B1">
        <w:rPr>
          <w:rFonts w:ascii="Times New Roman" w:hAnsi="Times New Roman" w:cs="Times New Roman"/>
          <w:sz w:val="24"/>
          <w:szCs w:val="24"/>
        </w:rPr>
        <w:t>3</w:t>
      </w:r>
      <w:r w:rsidR="007B0B22" w:rsidRPr="002241B1">
        <w:rPr>
          <w:rFonts w:ascii="Times New Roman" w:hAnsi="Times New Roman" w:cs="Times New Roman"/>
          <w:sz w:val="24"/>
          <w:szCs w:val="24"/>
        </w:rPr>
        <w:t>, au 30 juin 2013</w:t>
      </w:r>
      <w:r w:rsidR="0024734A" w:rsidRPr="002241B1">
        <w:rPr>
          <w:rFonts w:ascii="Times New Roman" w:hAnsi="Times New Roman" w:cs="Times New Roman"/>
          <w:sz w:val="24"/>
          <w:szCs w:val="24"/>
        </w:rPr>
        <w:t xml:space="preserve"> le crédit net totalisait 58.8 milliards de gourdes. La croissance a été de 13.5% </w:t>
      </w:r>
      <w:r w:rsidR="005E745F" w:rsidRPr="002241B1">
        <w:rPr>
          <w:rFonts w:ascii="Times New Roman" w:hAnsi="Times New Roman" w:cs="Times New Roman"/>
          <w:sz w:val="24"/>
          <w:szCs w:val="24"/>
        </w:rPr>
        <w:t xml:space="preserve"> au cours des neuf (9) premiers mois</w:t>
      </w:r>
      <w:r w:rsidR="007A1539" w:rsidRPr="002241B1">
        <w:rPr>
          <w:rFonts w:ascii="Times New Roman" w:hAnsi="Times New Roman" w:cs="Times New Roman"/>
          <w:sz w:val="24"/>
          <w:szCs w:val="24"/>
        </w:rPr>
        <w:t xml:space="preserve"> de l’</w:t>
      </w:r>
      <w:r w:rsidR="003535E5" w:rsidRPr="002241B1">
        <w:rPr>
          <w:rFonts w:ascii="Times New Roman" w:hAnsi="Times New Roman" w:cs="Times New Roman"/>
          <w:sz w:val="24"/>
          <w:szCs w:val="24"/>
        </w:rPr>
        <w:t>exercice</w:t>
      </w:r>
      <w:r w:rsidR="007A1539" w:rsidRPr="002241B1">
        <w:rPr>
          <w:rFonts w:ascii="Times New Roman" w:hAnsi="Times New Roman" w:cs="Times New Roman"/>
          <w:sz w:val="24"/>
          <w:szCs w:val="24"/>
        </w:rPr>
        <w:t xml:space="preserve">. Les données de septembre 2013 montrent que le crédit </w:t>
      </w:r>
      <w:r w:rsidR="003535E5" w:rsidRPr="002241B1">
        <w:rPr>
          <w:rFonts w:ascii="Times New Roman" w:hAnsi="Times New Roman" w:cs="Times New Roman"/>
          <w:sz w:val="24"/>
          <w:szCs w:val="24"/>
        </w:rPr>
        <w:t>octroyé</w:t>
      </w:r>
      <w:r w:rsidR="00EC7291">
        <w:rPr>
          <w:rFonts w:ascii="Times New Roman" w:hAnsi="Times New Roman" w:cs="Times New Roman"/>
          <w:sz w:val="24"/>
          <w:szCs w:val="24"/>
        </w:rPr>
        <w:t xml:space="preserve"> pour l’année a atteint 63.2</w:t>
      </w:r>
      <w:r w:rsidR="00B270E7">
        <w:rPr>
          <w:rFonts w:ascii="Times New Roman" w:hAnsi="Times New Roman" w:cs="Times New Roman"/>
          <w:sz w:val="24"/>
          <w:szCs w:val="24"/>
        </w:rPr>
        <w:t xml:space="preserve"> </w:t>
      </w:r>
      <w:r w:rsidR="00CC42BD" w:rsidRPr="002241B1">
        <w:rPr>
          <w:rFonts w:ascii="Times New Roman" w:hAnsi="Times New Roman" w:cs="Times New Roman"/>
          <w:sz w:val="24"/>
          <w:szCs w:val="24"/>
        </w:rPr>
        <w:t>milliards de gourdes</w:t>
      </w:r>
      <w:r w:rsidR="00B270E7">
        <w:rPr>
          <w:rFonts w:ascii="Times New Roman" w:hAnsi="Times New Roman" w:cs="Times New Roman"/>
          <w:sz w:val="24"/>
          <w:szCs w:val="24"/>
        </w:rPr>
        <w:t xml:space="preserve"> soit 22% de croissance</w:t>
      </w:r>
      <w:r w:rsidR="00CC42BD" w:rsidRPr="002241B1">
        <w:rPr>
          <w:rFonts w:ascii="Times New Roman" w:hAnsi="Times New Roman" w:cs="Times New Roman"/>
          <w:sz w:val="24"/>
          <w:szCs w:val="24"/>
        </w:rPr>
        <w:t>.</w:t>
      </w:r>
    </w:p>
    <w:p w:rsidR="00AA7DF7" w:rsidRPr="002241B1" w:rsidRDefault="00AA7DF7" w:rsidP="00772122">
      <w:pPr>
        <w:tabs>
          <w:tab w:val="left" w:pos="1176"/>
        </w:tabs>
        <w:spacing w:after="0"/>
        <w:jc w:val="both"/>
        <w:rPr>
          <w:rFonts w:ascii="Times New Roman" w:hAnsi="Times New Roman" w:cs="Times New Roman"/>
          <w:sz w:val="24"/>
          <w:szCs w:val="24"/>
        </w:rPr>
      </w:pPr>
    </w:p>
    <w:p w:rsidR="00CC42BD" w:rsidRPr="002241B1" w:rsidRDefault="00CC42BD" w:rsidP="00772122">
      <w:pPr>
        <w:tabs>
          <w:tab w:val="left" w:pos="1176"/>
        </w:tabs>
        <w:spacing w:after="0"/>
        <w:jc w:val="both"/>
        <w:rPr>
          <w:rFonts w:ascii="Times New Roman" w:hAnsi="Times New Roman" w:cs="Times New Roman"/>
          <w:sz w:val="24"/>
          <w:szCs w:val="24"/>
        </w:rPr>
      </w:pPr>
      <w:r w:rsidRPr="002241B1">
        <w:rPr>
          <w:rFonts w:ascii="Times New Roman" w:hAnsi="Times New Roman" w:cs="Times New Roman"/>
          <w:sz w:val="24"/>
          <w:szCs w:val="24"/>
        </w:rPr>
        <w:t xml:space="preserve">Cette </w:t>
      </w:r>
      <w:r w:rsidR="003535E5" w:rsidRPr="002241B1">
        <w:rPr>
          <w:rFonts w:ascii="Times New Roman" w:hAnsi="Times New Roman" w:cs="Times New Roman"/>
          <w:sz w:val="24"/>
          <w:szCs w:val="24"/>
        </w:rPr>
        <w:t>nouvelle</w:t>
      </w:r>
      <w:r w:rsidRPr="002241B1">
        <w:rPr>
          <w:rFonts w:ascii="Times New Roman" w:hAnsi="Times New Roman" w:cs="Times New Roman"/>
          <w:sz w:val="24"/>
          <w:szCs w:val="24"/>
        </w:rPr>
        <w:t xml:space="preserve"> tendance </w:t>
      </w:r>
      <w:r w:rsidR="003535E5" w:rsidRPr="002241B1">
        <w:rPr>
          <w:rFonts w:ascii="Times New Roman" w:hAnsi="Times New Roman" w:cs="Times New Roman"/>
          <w:sz w:val="24"/>
          <w:szCs w:val="24"/>
        </w:rPr>
        <w:t xml:space="preserve">du crédit témoigne d’une participation active des banques à l’effort de reconstruction, d’une volonté de mettre des fonds additionnels à la disposition des agents économiques en vue de financer des projets rentables. La tendance </w:t>
      </w:r>
      <w:r w:rsidR="009546E6" w:rsidRPr="002241B1">
        <w:rPr>
          <w:rFonts w:ascii="Times New Roman" w:hAnsi="Times New Roman" w:cs="Times New Roman"/>
          <w:sz w:val="24"/>
          <w:szCs w:val="24"/>
        </w:rPr>
        <w:t>à la relance du crédit a été facilitée par des taux d’intérêts allant d’une moyenne de 19.3</w:t>
      </w:r>
      <w:r w:rsidR="00411556" w:rsidRPr="002241B1">
        <w:rPr>
          <w:rFonts w:ascii="Times New Roman" w:hAnsi="Times New Roman" w:cs="Times New Roman"/>
          <w:sz w:val="24"/>
          <w:szCs w:val="24"/>
        </w:rPr>
        <w:t>0</w:t>
      </w:r>
      <w:r w:rsidR="009546E6" w:rsidRPr="002241B1">
        <w:rPr>
          <w:rFonts w:ascii="Times New Roman" w:hAnsi="Times New Roman" w:cs="Times New Roman"/>
          <w:sz w:val="24"/>
          <w:szCs w:val="24"/>
        </w:rPr>
        <w:t>% à une moyenne pondérée de 6.7% pour les prêts en gourdes. Tandis que pour les prêts en devises, les taux d’</w:t>
      </w:r>
      <w:r w:rsidR="00FA2273" w:rsidRPr="002241B1">
        <w:rPr>
          <w:rFonts w:ascii="Times New Roman" w:hAnsi="Times New Roman" w:cs="Times New Roman"/>
          <w:sz w:val="24"/>
          <w:szCs w:val="24"/>
        </w:rPr>
        <w:t>intérêts ont varié</w:t>
      </w:r>
      <w:r w:rsidR="009546E6" w:rsidRPr="002241B1">
        <w:rPr>
          <w:rFonts w:ascii="Times New Roman" w:hAnsi="Times New Roman" w:cs="Times New Roman"/>
          <w:sz w:val="24"/>
          <w:szCs w:val="24"/>
        </w:rPr>
        <w:t xml:space="preserve"> de 9.5% </w:t>
      </w:r>
      <w:r w:rsidR="00FA2273" w:rsidRPr="002241B1">
        <w:rPr>
          <w:rFonts w:ascii="Times New Roman" w:hAnsi="Times New Roman" w:cs="Times New Roman"/>
          <w:sz w:val="24"/>
          <w:szCs w:val="24"/>
        </w:rPr>
        <w:t>à 6.28</w:t>
      </w:r>
      <w:r w:rsidR="00CD5817" w:rsidRPr="002241B1">
        <w:rPr>
          <w:rFonts w:ascii="Times New Roman" w:hAnsi="Times New Roman" w:cs="Times New Roman"/>
          <w:sz w:val="24"/>
          <w:szCs w:val="24"/>
        </w:rPr>
        <w:t xml:space="preserve"> </w:t>
      </w:r>
      <w:r w:rsidR="00FA2273" w:rsidRPr="002241B1">
        <w:rPr>
          <w:rFonts w:ascii="Times New Roman" w:hAnsi="Times New Roman" w:cs="Times New Roman"/>
          <w:sz w:val="24"/>
          <w:szCs w:val="24"/>
        </w:rPr>
        <w:t xml:space="preserve">% </w:t>
      </w:r>
      <w:r w:rsidR="00AA7DF7" w:rsidRPr="002241B1">
        <w:rPr>
          <w:rFonts w:ascii="Times New Roman" w:hAnsi="Times New Roman" w:cs="Times New Roman"/>
          <w:sz w:val="24"/>
          <w:szCs w:val="24"/>
        </w:rPr>
        <w:t>en fin d’exercice 2013.</w:t>
      </w:r>
    </w:p>
    <w:p w:rsidR="00626EFE" w:rsidRPr="002241B1" w:rsidRDefault="00626EFE" w:rsidP="00772122">
      <w:pPr>
        <w:tabs>
          <w:tab w:val="left" w:pos="1176"/>
        </w:tabs>
        <w:spacing w:after="0"/>
        <w:jc w:val="both"/>
        <w:rPr>
          <w:rFonts w:ascii="Times New Roman" w:hAnsi="Times New Roman" w:cs="Times New Roman"/>
          <w:sz w:val="24"/>
          <w:szCs w:val="24"/>
        </w:rPr>
      </w:pPr>
    </w:p>
    <w:p w:rsidR="004C6AF5" w:rsidRPr="002241B1" w:rsidRDefault="00626EFE" w:rsidP="00772122">
      <w:pPr>
        <w:tabs>
          <w:tab w:val="left" w:pos="1176"/>
        </w:tabs>
        <w:spacing w:after="0"/>
        <w:jc w:val="both"/>
        <w:rPr>
          <w:rFonts w:ascii="Times New Roman" w:hAnsi="Times New Roman" w:cs="Times New Roman"/>
          <w:sz w:val="24"/>
          <w:szCs w:val="24"/>
        </w:rPr>
      </w:pPr>
      <w:r w:rsidRPr="002241B1">
        <w:rPr>
          <w:rFonts w:ascii="Times New Roman" w:hAnsi="Times New Roman" w:cs="Times New Roman"/>
          <w:sz w:val="24"/>
          <w:szCs w:val="24"/>
        </w:rPr>
        <w:t xml:space="preserve">L’option faite par la Banque Centrale de maintenir les taux directeurs à des niveaux extrêmement bas ; 1% pour les </w:t>
      </w:r>
      <w:r w:rsidR="005C43ED" w:rsidRPr="002241B1">
        <w:rPr>
          <w:rFonts w:ascii="Times New Roman" w:hAnsi="Times New Roman" w:cs="Times New Roman"/>
          <w:sz w:val="24"/>
          <w:szCs w:val="24"/>
        </w:rPr>
        <w:t>b</w:t>
      </w:r>
      <w:r w:rsidRPr="002241B1">
        <w:rPr>
          <w:rFonts w:ascii="Times New Roman" w:hAnsi="Times New Roman" w:cs="Times New Roman"/>
          <w:sz w:val="24"/>
          <w:szCs w:val="24"/>
        </w:rPr>
        <w:t>ons à sept (</w:t>
      </w:r>
      <w:r w:rsidR="005C43ED" w:rsidRPr="002241B1">
        <w:rPr>
          <w:rFonts w:ascii="Times New Roman" w:hAnsi="Times New Roman" w:cs="Times New Roman"/>
          <w:sz w:val="24"/>
          <w:szCs w:val="24"/>
        </w:rPr>
        <w:t>7) jours, 2% pour les taux des b</w:t>
      </w:r>
      <w:r w:rsidR="00996C62" w:rsidRPr="002241B1">
        <w:rPr>
          <w:rFonts w:ascii="Times New Roman" w:hAnsi="Times New Roman" w:cs="Times New Roman"/>
          <w:sz w:val="24"/>
          <w:szCs w:val="24"/>
        </w:rPr>
        <w:t>ons à 28 jours et 3% sur les b</w:t>
      </w:r>
      <w:r w:rsidRPr="002241B1">
        <w:rPr>
          <w:rFonts w:ascii="Times New Roman" w:hAnsi="Times New Roman" w:cs="Times New Roman"/>
          <w:sz w:val="24"/>
          <w:szCs w:val="24"/>
        </w:rPr>
        <w:t>ons à quatre vingt</w:t>
      </w:r>
      <w:r w:rsidR="00255544" w:rsidRPr="002241B1">
        <w:rPr>
          <w:rFonts w:ascii="Times New Roman" w:hAnsi="Times New Roman" w:cs="Times New Roman"/>
          <w:sz w:val="24"/>
          <w:szCs w:val="24"/>
        </w:rPr>
        <w:t xml:space="preserve"> dix (90) jours</w:t>
      </w:r>
      <w:r w:rsidR="004C6AF5" w:rsidRPr="002241B1">
        <w:rPr>
          <w:rFonts w:ascii="Times New Roman" w:hAnsi="Times New Roman" w:cs="Times New Roman"/>
          <w:sz w:val="24"/>
          <w:szCs w:val="24"/>
        </w:rPr>
        <w:t xml:space="preserve"> ont poussé les banques à prendre plus de risques sur le marché.</w:t>
      </w:r>
    </w:p>
    <w:p w:rsidR="004C6AF5" w:rsidRPr="002241B1" w:rsidRDefault="004C6AF5" w:rsidP="00772122">
      <w:pPr>
        <w:tabs>
          <w:tab w:val="left" w:pos="1176"/>
        </w:tabs>
        <w:spacing w:after="0"/>
        <w:jc w:val="both"/>
        <w:rPr>
          <w:rFonts w:ascii="Times New Roman" w:hAnsi="Times New Roman" w:cs="Times New Roman"/>
          <w:sz w:val="24"/>
          <w:szCs w:val="24"/>
        </w:rPr>
      </w:pPr>
      <w:r w:rsidRPr="002241B1">
        <w:rPr>
          <w:rFonts w:ascii="Times New Roman" w:hAnsi="Times New Roman" w:cs="Times New Roman"/>
          <w:sz w:val="24"/>
          <w:szCs w:val="24"/>
        </w:rPr>
        <w:tab/>
      </w:r>
    </w:p>
    <w:p w:rsidR="00626EFE" w:rsidRPr="002241B1" w:rsidRDefault="004C6AF5" w:rsidP="00772122">
      <w:pPr>
        <w:tabs>
          <w:tab w:val="left" w:pos="1176"/>
        </w:tabs>
        <w:spacing w:after="0"/>
        <w:jc w:val="both"/>
        <w:rPr>
          <w:rFonts w:ascii="Times New Roman" w:hAnsi="Times New Roman" w:cs="Times New Roman"/>
          <w:sz w:val="24"/>
          <w:szCs w:val="24"/>
        </w:rPr>
      </w:pPr>
      <w:r w:rsidRPr="002241B1">
        <w:rPr>
          <w:rFonts w:ascii="Times New Roman" w:hAnsi="Times New Roman" w:cs="Times New Roman"/>
          <w:sz w:val="24"/>
          <w:szCs w:val="24"/>
        </w:rPr>
        <w:t>L’expansion du crédit constaté</w:t>
      </w:r>
      <w:r w:rsidR="007B0B22" w:rsidRPr="002241B1">
        <w:rPr>
          <w:rFonts w:ascii="Times New Roman" w:hAnsi="Times New Roman" w:cs="Times New Roman"/>
          <w:sz w:val="24"/>
          <w:szCs w:val="24"/>
        </w:rPr>
        <w:t>e</w:t>
      </w:r>
      <w:r w:rsidRPr="002241B1">
        <w:rPr>
          <w:rFonts w:ascii="Times New Roman" w:hAnsi="Times New Roman" w:cs="Times New Roman"/>
          <w:sz w:val="24"/>
          <w:szCs w:val="24"/>
        </w:rPr>
        <w:t xml:space="preserve"> durant les deux </w:t>
      </w:r>
      <w:r w:rsidR="00DB2135" w:rsidRPr="002241B1">
        <w:rPr>
          <w:rFonts w:ascii="Times New Roman" w:hAnsi="Times New Roman" w:cs="Times New Roman"/>
          <w:sz w:val="24"/>
          <w:szCs w:val="24"/>
        </w:rPr>
        <w:t xml:space="preserve">(2) </w:t>
      </w:r>
      <w:r w:rsidRPr="002241B1">
        <w:rPr>
          <w:rFonts w:ascii="Times New Roman" w:hAnsi="Times New Roman" w:cs="Times New Roman"/>
          <w:sz w:val="24"/>
          <w:szCs w:val="24"/>
        </w:rPr>
        <w:t xml:space="preserve">dernières années ne s’est pas </w:t>
      </w:r>
      <w:r w:rsidR="00DB2135" w:rsidRPr="002241B1">
        <w:rPr>
          <w:rFonts w:ascii="Times New Roman" w:hAnsi="Times New Roman" w:cs="Times New Roman"/>
          <w:sz w:val="24"/>
          <w:szCs w:val="24"/>
        </w:rPr>
        <w:t>matérialisée</w:t>
      </w:r>
      <w:r w:rsidR="007B0B22" w:rsidRPr="002241B1">
        <w:rPr>
          <w:rFonts w:ascii="Times New Roman" w:hAnsi="Times New Roman" w:cs="Times New Roman"/>
          <w:sz w:val="24"/>
          <w:szCs w:val="24"/>
        </w:rPr>
        <w:t xml:space="preserve"> sans créer de</w:t>
      </w:r>
      <w:r w:rsidRPr="002241B1">
        <w:rPr>
          <w:rFonts w:ascii="Times New Roman" w:hAnsi="Times New Roman" w:cs="Times New Roman"/>
          <w:sz w:val="24"/>
          <w:szCs w:val="24"/>
        </w:rPr>
        <w:t xml:space="preserve"> perturbations. La </w:t>
      </w:r>
      <w:r w:rsidR="00DB2135" w:rsidRPr="002241B1">
        <w:rPr>
          <w:rFonts w:ascii="Times New Roman" w:hAnsi="Times New Roman" w:cs="Times New Roman"/>
          <w:sz w:val="24"/>
          <w:szCs w:val="24"/>
        </w:rPr>
        <w:t>création</w:t>
      </w:r>
      <w:r w:rsidRPr="002241B1">
        <w:rPr>
          <w:rFonts w:ascii="Times New Roman" w:hAnsi="Times New Roman" w:cs="Times New Roman"/>
          <w:sz w:val="24"/>
          <w:szCs w:val="24"/>
        </w:rPr>
        <w:t xml:space="preserve"> </w:t>
      </w:r>
      <w:r w:rsidR="00DB2135" w:rsidRPr="002241B1">
        <w:rPr>
          <w:rFonts w:ascii="Times New Roman" w:hAnsi="Times New Roman" w:cs="Times New Roman"/>
          <w:sz w:val="24"/>
          <w:szCs w:val="24"/>
        </w:rPr>
        <w:t>monétaire</w:t>
      </w:r>
      <w:r w:rsidRPr="002241B1">
        <w:rPr>
          <w:rFonts w:ascii="Times New Roman" w:hAnsi="Times New Roman" w:cs="Times New Roman"/>
          <w:sz w:val="24"/>
          <w:szCs w:val="24"/>
        </w:rPr>
        <w:t xml:space="preserve"> engendr</w:t>
      </w:r>
      <w:r w:rsidR="00DB2135" w:rsidRPr="002241B1">
        <w:rPr>
          <w:rFonts w:ascii="Times New Roman" w:hAnsi="Times New Roman" w:cs="Times New Roman"/>
          <w:sz w:val="24"/>
          <w:szCs w:val="24"/>
        </w:rPr>
        <w:t>é</w:t>
      </w:r>
      <w:r w:rsidRPr="002241B1">
        <w:rPr>
          <w:rFonts w:ascii="Times New Roman" w:hAnsi="Times New Roman" w:cs="Times New Roman"/>
          <w:sz w:val="24"/>
          <w:szCs w:val="24"/>
        </w:rPr>
        <w:t xml:space="preserve">e par l’accroissement du crédit à </w:t>
      </w:r>
      <w:r w:rsidR="00DB2135" w:rsidRPr="002241B1">
        <w:rPr>
          <w:rFonts w:ascii="Times New Roman" w:hAnsi="Times New Roman" w:cs="Times New Roman"/>
          <w:sz w:val="24"/>
          <w:szCs w:val="24"/>
        </w:rPr>
        <w:t>déstabiliser</w:t>
      </w:r>
      <w:r w:rsidRPr="002241B1">
        <w:rPr>
          <w:rFonts w:ascii="Times New Roman" w:hAnsi="Times New Roman" w:cs="Times New Roman"/>
          <w:sz w:val="24"/>
          <w:szCs w:val="24"/>
        </w:rPr>
        <w:t xml:space="preserve"> le taux de change de la monnaie nationale </w:t>
      </w:r>
      <w:r w:rsidR="00DB2135" w:rsidRPr="002241B1">
        <w:rPr>
          <w:rFonts w:ascii="Times New Roman" w:hAnsi="Times New Roman" w:cs="Times New Roman"/>
          <w:sz w:val="24"/>
          <w:szCs w:val="24"/>
        </w:rPr>
        <w:t>par</w:t>
      </w:r>
      <w:r w:rsidR="007B0B22" w:rsidRPr="002241B1">
        <w:rPr>
          <w:rFonts w:ascii="Times New Roman" w:hAnsi="Times New Roman" w:cs="Times New Roman"/>
          <w:sz w:val="24"/>
          <w:szCs w:val="24"/>
        </w:rPr>
        <w:t xml:space="preserve"> rapport à la devise américaine.</w:t>
      </w:r>
    </w:p>
    <w:p w:rsidR="006E50C0" w:rsidRPr="002241B1" w:rsidRDefault="006E50C0" w:rsidP="00772122">
      <w:pPr>
        <w:tabs>
          <w:tab w:val="left" w:pos="1176"/>
        </w:tabs>
        <w:spacing w:after="0"/>
        <w:jc w:val="both"/>
        <w:rPr>
          <w:rFonts w:ascii="Times New Roman" w:hAnsi="Times New Roman" w:cs="Times New Roman"/>
          <w:sz w:val="24"/>
          <w:szCs w:val="24"/>
        </w:rPr>
      </w:pPr>
    </w:p>
    <w:p w:rsidR="006E50C0" w:rsidRPr="002241B1" w:rsidRDefault="006E50C0" w:rsidP="00772122">
      <w:pPr>
        <w:tabs>
          <w:tab w:val="left" w:pos="1176"/>
        </w:tabs>
        <w:spacing w:after="0"/>
        <w:jc w:val="both"/>
        <w:rPr>
          <w:rFonts w:ascii="Times New Roman" w:hAnsi="Times New Roman" w:cs="Times New Roman"/>
          <w:sz w:val="24"/>
          <w:szCs w:val="24"/>
        </w:rPr>
      </w:pPr>
      <w:r w:rsidRPr="002241B1">
        <w:rPr>
          <w:rFonts w:ascii="Times New Roman" w:hAnsi="Times New Roman" w:cs="Times New Roman"/>
          <w:sz w:val="24"/>
          <w:szCs w:val="24"/>
        </w:rPr>
        <w:t xml:space="preserve">Le taux de </w:t>
      </w:r>
      <w:r w:rsidR="000455DF" w:rsidRPr="002241B1">
        <w:rPr>
          <w:rFonts w:ascii="Times New Roman" w:hAnsi="Times New Roman" w:cs="Times New Roman"/>
          <w:sz w:val="24"/>
          <w:szCs w:val="24"/>
        </w:rPr>
        <w:t>référence</w:t>
      </w:r>
      <w:r w:rsidRPr="002241B1">
        <w:rPr>
          <w:rFonts w:ascii="Times New Roman" w:hAnsi="Times New Roman" w:cs="Times New Roman"/>
          <w:sz w:val="24"/>
          <w:szCs w:val="24"/>
        </w:rPr>
        <w:t xml:space="preserve"> de la BRH instable depuis le début de l’exercice, 42.26 gourdes e</w:t>
      </w:r>
      <w:r w:rsidR="0082795F" w:rsidRPr="002241B1">
        <w:rPr>
          <w:rFonts w:ascii="Times New Roman" w:hAnsi="Times New Roman" w:cs="Times New Roman"/>
          <w:sz w:val="24"/>
          <w:szCs w:val="24"/>
        </w:rPr>
        <w:t>n</w:t>
      </w:r>
      <w:r w:rsidRPr="002241B1">
        <w:rPr>
          <w:rFonts w:ascii="Times New Roman" w:hAnsi="Times New Roman" w:cs="Times New Roman"/>
          <w:sz w:val="24"/>
          <w:szCs w:val="24"/>
        </w:rPr>
        <w:t xml:space="preserve"> septembre 2012, </w:t>
      </w:r>
      <w:r w:rsidR="004D4A41" w:rsidRPr="002241B1">
        <w:rPr>
          <w:rFonts w:ascii="Times New Roman" w:hAnsi="Times New Roman" w:cs="Times New Roman"/>
          <w:sz w:val="24"/>
          <w:szCs w:val="24"/>
        </w:rPr>
        <w:t xml:space="preserve">42.55 gourdes en </w:t>
      </w:r>
      <w:r w:rsidR="000455DF" w:rsidRPr="002241B1">
        <w:rPr>
          <w:rFonts w:ascii="Times New Roman" w:hAnsi="Times New Roman" w:cs="Times New Roman"/>
          <w:sz w:val="24"/>
          <w:szCs w:val="24"/>
        </w:rPr>
        <w:t>décembre</w:t>
      </w:r>
      <w:r w:rsidR="004D4A41" w:rsidRPr="002241B1">
        <w:rPr>
          <w:rFonts w:ascii="Times New Roman" w:hAnsi="Times New Roman" w:cs="Times New Roman"/>
          <w:sz w:val="24"/>
          <w:szCs w:val="24"/>
        </w:rPr>
        <w:t xml:space="preserve">, 42.94 en mars 2013, </w:t>
      </w:r>
      <w:r w:rsidR="007B0B22" w:rsidRPr="002241B1">
        <w:rPr>
          <w:rFonts w:ascii="Times New Roman" w:hAnsi="Times New Roman" w:cs="Times New Roman"/>
          <w:sz w:val="24"/>
          <w:szCs w:val="24"/>
        </w:rPr>
        <w:t xml:space="preserve">43.72 gourdes en juin. Le taux </w:t>
      </w:r>
      <w:r w:rsidR="004D4A41" w:rsidRPr="002241B1">
        <w:rPr>
          <w:rFonts w:ascii="Times New Roman" w:hAnsi="Times New Roman" w:cs="Times New Roman"/>
          <w:sz w:val="24"/>
          <w:szCs w:val="24"/>
        </w:rPr>
        <w:t>a été stabilisé aux ale</w:t>
      </w:r>
      <w:r w:rsidR="007B0B22" w:rsidRPr="002241B1">
        <w:rPr>
          <w:rFonts w:ascii="Times New Roman" w:hAnsi="Times New Roman" w:cs="Times New Roman"/>
          <w:sz w:val="24"/>
          <w:szCs w:val="24"/>
        </w:rPr>
        <w:t xml:space="preserve">ntours de </w:t>
      </w:r>
      <w:r w:rsidR="007C1045" w:rsidRPr="002241B1">
        <w:rPr>
          <w:rFonts w:ascii="Times New Roman" w:hAnsi="Times New Roman" w:cs="Times New Roman"/>
          <w:sz w:val="24"/>
          <w:szCs w:val="24"/>
        </w:rPr>
        <w:t xml:space="preserve"> 43.75 en juillet et 43.77 en ao</w:t>
      </w:r>
      <w:r w:rsidR="000455DF" w:rsidRPr="002241B1">
        <w:rPr>
          <w:rFonts w:ascii="Times New Roman" w:hAnsi="Times New Roman" w:cs="Times New Roman"/>
          <w:sz w:val="24"/>
          <w:szCs w:val="24"/>
        </w:rPr>
        <w:t>û</w:t>
      </w:r>
      <w:r w:rsidR="007C1045" w:rsidRPr="002241B1">
        <w:rPr>
          <w:rFonts w:ascii="Times New Roman" w:hAnsi="Times New Roman" w:cs="Times New Roman"/>
          <w:sz w:val="24"/>
          <w:szCs w:val="24"/>
        </w:rPr>
        <w:t>t</w:t>
      </w:r>
      <w:r w:rsidR="002010B7">
        <w:rPr>
          <w:rFonts w:ascii="Times New Roman" w:hAnsi="Times New Roman" w:cs="Times New Roman"/>
          <w:sz w:val="24"/>
          <w:szCs w:val="24"/>
        </w:rPr>
        <w:t xml:space="preserve"> et septembre</w:t>
      </w:r>
      <w:r w:rsidR="007C1045" w:rsidRPr="002241B1">
        <w:rPr>
          <w:rFonts w:ascii="Times New Roman" w:hAnsi="Times New Roman" w:cs="Times New Roman"/>
          <w:sz w:val="24"/>
          <w:szCs w:val="24"/>
        </w:rPr>
        <w:t xml:space="preserve"> 2013.</w:t>
      </w:r>
    </w:p>
    <w:p w:rsidR="00520F49" w:rsidRPr="002241B1" w:rsidRDefault="00520F49" w:rsidP="00772122">
      <w:pPr>
        <w:tabs>
          <w:tab w:val="left" w:pos="1176"/>
        </w:tabs>
        <w:spacing w:after="0"/>
        <w:jc w:val="both"/>
        <w:rPr>
          <w:rFonts w:ascii="Times New Roman" w:hAnsi="Times New Roman" w:cs="Times New Roman"/>
          <w:sz w:val="24"/>
          <w:szCs w:val="24"/>
        </w:rPr>
      </w:pPr>
    </w:p>
    <w:p w:rsidR="00520F49" w:rsidRPr="002241B1" w:rsidRDefault="00520F49" w:rsidP="00772122">
      <w:pPr>
        <w:tabs>
          <w:tab w:val="left" w:pos="1176"/>
        </w:tabs>
        <w:spacing w:after="0"/>
        <w:jc w:val="both"/>
        <w:rPr>
          <w:rFonts w:ascii="Times New Roman" w:hAnsi="Times New Roman" w:cs="Times New Roman"/>
          <w:sz w:val="24"/>
          <w:szCs w:val="24"/>
        </w:rPr>
      </w:pPr>
      <w:r w:rsidRPr="002241B1">
        <w:rPr>
          <w:rFonts w:ascii="Times New Roman" w:hAnsi="Times New Roman" w:cs="Times New Roman"/>
          <w:sz w:val="24"/>
          <w:szCs w:val="24"/>
        </w:rPr>
        <w:t xml:space="preserve">Pour stabiliser le taux de change, le taux médian du marché bancaire étant de 43.90 gourdes de juillet à septembre 2013, la Banque Centrale </w:t>
      </w:r>
      <w:r w:rsidR="00E27F6A" w:rsidRPr="002241B1">
        <w:rPr>
          <w:rFonts w:ascii="Times New Roman" w:hAnsi="Times New Roman" w:cs="Times New Roman"/>
          <w:sz w:val="24"/>
          <w:szCs w:val="24"/>
        </w:rPr>
        <w:t>n’a pas lésiné</w:t>
      </w:r>
      <w:r w:rsidR="00AE3DDD" w:rsidRPr="002241B1">
        <w:rPr>
          <w:rFonts w:ascii="Times New Roman" w:hAnsi="Times New Roman" w:cs="Times New Roman"/>
          <w:sz w:val="24"/>
          <w:szCs w:val="24"/>
        </w:rPr>
        <w:t xml:space="preserve"> sur les moyens. De nombreuses mesures ont été arrêtées pour obtenir ce résultat</w:t>
      </w:r>
      <w:r w:rsidR="0082795F" w:rsidRPr="002241B1">
        <w:rPr>
          <w:rFonts w:ascii="Times New Roman" w:hAnsi="Times New Roman" w:cs="Times New Roman"/>
          <w:sz w:val="24"/>
          <w:szCs w:val="24"/>
        </w:rPr>
        <w:t> :</w:t>
      </w:r>
    </w:p>
    <w:p w:rsidR="00687C8B" w:rsidRPr="002241B1" w:rsidRDefault="00687C8B" w:rsidP="00772122">
      <w:pPr>
        <w:pStyle w:val="ListParagraph"/>
        <w:numPr>
          <w:ilvl w:val="0"/>
          <w:numId w:val="7"/>
        </w:numPr>
        <w:tabs>
          <w:tab w:val="left" w:pos="1176"/>
        </w:tabs>
        <w:spacing w:after="0"/>
        <w:jc w:val="both"/>
        <w:rPr>
          <w:rFonts w:ascii="Times New Roman" w:hAnsi="Times New Roman" w:cs="Times New Roman"/>
          <w:sz w:val="24"/>
          <w:szCs w:val="24"/>
        </w:rPr>
      </w:pPr>
      <w:r w:rsidRPr="002241B1">
        <w:rPr>
          <w:rFonts w:ascii="Times New Roman" w:hAnsi="Times New Roman" w:cs="Times New Roman"/>
          <w:sz w:val="24"/>
          <w:szCs w:val="24"/>
        </w:rPr>
        <w:t>Swap de devises contre monnaie nationale</w:t>
      </w:r>
    </w:p>
    <w:p w:rsidR="005A2418" w:rsidRPr="002241B1" w:rsidRDefault="005A2418" w:rsidP="00772122">
      <w:pPr>
        <w:pStyle w:val="ListParagraph"/>
        <w:tabs>
          <w:tab w:val="left" w:pos="1176"/>
        </w:tabs>
        <w:spacing w:after="0"/>
        <w:jc w:val="both"/>
        <w:rPr>
          <w:rFonts w:ascii="Times New Roman" w:hAnsi="Times New Roman" w:cs="Times New Roman"/>
          <w:sz w:val="24"/>
          <w:szCs w:val="24"/>
        </w:rPr>
      </w:pPr>
      <w:r w:rsidRPr="002241B1">
        <w:rPr>
          <w:rFonts w:ascii="Times New Roman" w:hAnsi="Times New Roman" w:cs="Times New Roman"/>
          <w:sz w:val="24"/>
          <w:szCs w:val="24"/>
        </w:rPr>
        <w:t>En novembre 2012, la BRH a renouvelé son programme de swap</w:t>
      </w:r>
      <w:r w:rsidR="0096553A" w:rsidRPr="002241B1">
        <w:rPr>
          <w:rFonts w:ascii="Times New Roman" w:hAnsi="Times New Roman" w:cs="Times New Roman"/>
          <w:sz w:val="24"/>
          <w:szCs w:val="24"/>
        </w:rPr>
        <w:t xml:space="preserve"> débuté l’année précédente par un appel d’offres d’un montant de 100 millions de dollar</w:t>
      </w:r>
      <w:r w:rsidR="00E62B69" w:rsidRPr="002241B1">
        <w:rPr>
          <w:rFonts w:ascii="Times New Roman" w:hAnsi="Times New Roman" w:cs="Times New Roman"/>
          <w:sz w:val="24"/>
          <w:szCs w:val="24"/>
        </w:rPr>
        <w:t>s à trois (3)</w:t>
      </w:r>
      <w:r w:rsidR="0096553A" w:rsidRPr="002241B1">
        <w:rPr>
          <w:rFonts w:ascii="Times New Roman" w:hAnsi="Times New Roman" w:cs="Times New Roman"/>
          <w:sz w:val="24"/>
          <w:szCs w:val="24"/>
        </w:rPr>
        <w:t xml:space="preserve"> </w:t>
      </w:r>
      <w:r w:rsidR="00E62B69" w:rsidRPr="002241B1">
        <w:rPr>
          <w:rFonts w:ascii="Times New Roman" w:hAnsi="Times New Roman" w:cs="Times New Roman"/>
          <w:sz w:val="24"/>
          <w:szCs w:val="24"/>
        </w:rPr>
        <w:t>mois de maturité mis à la disposition des banques.</w:t>
      </w:r>
    </w:p>
    <w:p w:rsidR="00E62B69" w:rsidRPr="002241B1" w:rsidRDefault="00405AA0" w:rsidP="00772122">
      <w:pPr>
        <w:pStyle w:val="ListParagraph"/>
        <w:numPr>
          <w:ilvl w:val="0"/>
          <w:numId w:val="7"/>
        </w:numPr>
        <w:tabs>
          <w:tab w:val="left" w:pos="1176"/>
        </w:tabs>
        <w:spacing w:after="0"/>
        <w:jc w:val="both"/>
        <w:rPr>
          <w:rFonts w:ascii="Times New Roman" w:hAnsi="Times New Roman" w:cs="Times New Roman"/>
          <w:sz w:val="24"/>
          <w:szCs w:val="24"/>
        </w:rPr>
      </w:pPr>
      <w:r w:rsidRPr="002241B1">
        <w:rPr>
          <w:rFonts w:ascii="Times New Roman" w:hAnsi="Times New Roman" w:cs="Times New Roman"/>
          <w:sz w:val="24"/>
          <w:szCs w:val="24"/>
        </w:rPr>
        <w:lastRenderedPageBreak/>
        <w:t>A compter du 16 juin 201</w:t>
      </w:r>
      <w:r w:rsidR="00FC2920" w:rsidRPr="002241B1">
        <w:rPr>
          <w:rFonts w:ascii="Times New Roman" w:hAnsi="Times New Roman" w:cs="Times New Roman"/>
          <w:sz w:val="24"/>
          <w:szCs w:val="24"/>
        </w:rPr>
        <w:t>3</w:t>
      </w:r>
      <w:r w:rsidRPr="002241B1">
        <w:rPr>
          <w:rFonts w:ascii="Times New Roman" w:hAnsi="Times New Roman" w:cs="Times New Roman"/>
          <w:sz w:val="24"/>
          <w:szCs w:val="24"/>
        </w:rPr>
        <w:t xml:space="preserve">, la Banque Centrale a modifié les </w:t>
      </w:r>
      <w:r w:rsidR="00252FD3" w:rsidRPr="002241B1">
        <w:rPr>
          <w:rFonts w:ascii="Times New Roman" w:hAnsi="Times New Roman" w:cs="Times New Roman"/>
          <w:sz w:val="24"/>
          <w:szCs w:val="24"/>
        </w:rPr>
        <w:t>réserves</w:t>
      </w:r>
      <w:r w:rsidRPr="002241B1">
        <w:rPr>
          <w:rFonts w:ascii="Times New Roman" w:hAnsi="Times New Roman" w:cs="Times New Roman"/>
          <w:sz w:val="24"/>
          <w:szCs w:val="24"/>
        </w:rPr>
        <w:t xml:space="preserve"> obligatoires sur les passifs de</w:t>
      </w:r>
      <w:r w:rsidR="00C63272" w:rsidRPr="002241B1">
        <w:rPr>
          <w:rFonts w:ascii="Times New Roman" w:hAnsi="Times New Roman" w:cs="Times New Roman"/>
          <w:sz w:val="24"/>
          <w:szCs w:val="24"/>
        </w:rPr>
        <w:t>s</w:t>
      </w:r>
      <w:r w:rsidRPr="002241B1">
        <w:rPr>
          <w:rFonts w:ascii="Times New Roman" w:hAnsi="Times New Roman" w:cs="Times New Roman"/>
          <w:sz w:val="24"/>
          <w:szCs w:val="24"/>
        </w:rPr>
        <w:t xml:space="preserve"> Banques </w:t>
      </w:r>
      <w:r w:rsidR="002C563D" w:rsidRPr="002241B1">
        <w:rPr>
          <w:rFonts w:ascii="Times New Roman" w:hAnsi="Times New Roman" w:cs="Times New Roman"/>
          <w:sz w:val="24"/>
          <w:szCs w:val="24"/>
        </w:rPr>
        <w:t xml:space="preserve">commerciales </w:t>
      </w:r>
      <w:r w:rsidRPr="002241B1">
        <w:rPr>
          <w:rFonts w:ascii="Times New Roman" w:hAnsi="Times New Roman" w:cs="Times New Roman"/>
          <w:sz w:val="24"/>
          <w:szCs w:val="24"/>
        </w:rPr>
        <w:t>libellés en gourdes à 35% et à 39% pour les passifs en dollars.</w:t>
      </w:r>
    </w:p>
    <w:p w:rsidR="00405AA0" w:rsidRPr="002241B1" w:rsidRDefault="00DC7395" w:rsidP="00772122">
      <w:pPr>
        <w:pStyle w:val="ListParagraph"/>
        <w:numPr>
          <w:ilvl w:val="0"/>
          <w:numId w:val="7"/>
        </w:numPr>
        <w:tabs>
          <w:tab w:val="left" w:pos="1176"/>
        </w:tabs>
        <w:spacing w:after="0"/>
        <w:jc w:val="both"/>
        <w:rPr>
          <w:rFonts w:ascii="Times New Roman" w:hAnsi="Times New Roman" w:cs="Times New Roman"/>
          <w:sz w:val="24"/>
          <w:szCs w:val="24"/>
        </w:rPr>
      </w:pPr>
      <w:r w:rsidRPr="002241B1">
        <w:rPr>
          <w:rFonts w:ascii="Times New Roman" w:hAnsi="Times New Roman" w:cs="Times New Roman"/>
          <w:sz w:val="24"/>
          <w:szCs w:val="24"/>
        </w:rPr>
        <w:t xml:space="preserve">La Banque Centrale a </w:t>
      </w:r>
      <w:r w:rsidR="00252FD3" w:rsidRPr="002241B1">
        <w:rPr>
          <w:rFonts w:ascii="Times New Roman" w:hAnsi="Times New Roman" w:cs="Times New Roman"/>
          <w:sz w:val="24"/>
          <w:szCs w:val="24"/>
        </w:rPr>
        <w:t>puisé 229 millions de dollars dans ses ré</w:t>
      </w:r>
      <w:r w:rsidRPr="002241B1">
        <w:rPr>
          <w:rFonts w:ascii="Times New Roman" w:hAnsi="Times New Roman" w:cs="Times New Roman"/>
          <w:sz w:val="24"/>
          <w:szCs w:val="24"/>
        </w:rPr>
        <w:t>serves entre septembre 2012 et juillet 2013 alors que la tendance était plutôt à l’</w:t>
      </w:r>
      <w:r w:rsidR="003F3957" w:rsidRPr="002241B1">
        <w:rPr>
          <w:rFonts w:ascii="Times New Roman" w:hAnsi="Times New Roman" w:cs="Times New Roman"/>
          <w:sz w:val="24"/>
          <w:szCs w:val="24"/>
        </w:rPr>
        <w:t>accumulation depuis 2010</w:t>
      </w:r>
      <w:r w:rsidRPr="002241B1">
        <w:rPr>
          <w:rFonts w:ascii="Times New Roman" w:hAnsi="Times New Roman" w:cs="Times New Roman"/>
          <w:sz w:val="24"/>
          <w:szCs w:val="24"/>
        </w:rPr>
        <w:t>.</w:t>
      </w:r>
      <w:r w:rsidR="00C059E4" w:rsidRPr="002241B1">
        <w:rPr>
          <w:rFonts w:ascii="Times New Roman" w:hAnsi="Times New Roman" w:cs="Times New Roman"/>
          <w:sz w:val="24"/>
          <w:szCs w:val="24"/>
        </w:rPr>
        <w:t xml:space="preserve"> En septembre 2013, les réserves</w:t>
      </w:r>
      <w:r w:rsidRPr="002241B1">
        <w:rPr>
          <w:rFonts w:ascii="Times New Roman" w:hAnsi="Times New Roman" w:cs="Times New Roman"/>
          <w:sz w:val="24"/>
          <w:szCs w:val="24"/>
        </w:rPr>
        <w:t xml:space="preserve"> </w:t>
      </w:r>
      <w:r w:rsidR="00C059E4" w:rsidRPr="002241B1">
        <w:rPr>
          <w:rFonts w:ascii="Times New Roman" w:hAnsi="Times New Roman" w:cs="Times New Roman"/>
          <w:sz w:val="24"/>
          <w:szCs w:val="24"/>
        </w:rPr>
        <w:t>nettes de change de la BRH se chiffrent à 1</w:t>
      </w:r>
      <w:r w:rsidR="00863B5D">
        <w:rPr>
          <w:rFonts w:ascii="Times New Roman" w:hAnsi="Times New Roman" w:cs="Times New Roman"/>
          <w:sz w:val="24"/>
          <w:szCs w:val="24"/>
        </w:rPr>
        <w:t>172</w:t>
      </w:r>
      <w:r w:rsidR="00C059E4" w:rsidRPr="002241B1">
        <w:rPr>
          <w:rFonts w:ascii="Times New Roman" w:hAnsi="Times New Roman" w:cs="Times New Roman"/>
          <w:sz w:val="24"/>
          <w:szCs w:val="24"/>
        </w:rPr>
        <w:t xml:space="preserve"> millions de dollars contre 1302 millions en septembre 2012.</w:t>
      </w:r>
    </w:p>
    <w:p w:rsidR="00D33854" w:rsidRPr="002241B1" w:rsidRDefault="00D33854" w:rsidP="00772122">
      <w:pPr>
        <w:pStyle w:val="ListParagraph"/>
        <w:numPr>
          <w:ilvl w:val="0"/>
          <w:numId w:val="7"/>
        </w:numPr>
        <w:tabs>
          <w:tab w:val="left" w:pos="1176"/>
        </w:tabs>
        <w:spacing w:after="0"/>
        <w:jc w:val="both"/>
        <w:rPr>
          <w:rFonts w:ascii="Times New Roman" w:hAnsi="Times New Roman" w:cs="Times New Roman"/>
          <w:sz w:val="24"/>
          <w:szCs w:val="24"/>
        </w:rPr>
      </w:pPr>
      <w:r w:rsidRPr="002241B1">
        <w:rPr>
          <w:rFonts w:ascii="Times New Roman" w:hAnsi="Times New Roman" w:cs="Times New Roman"/>
          <w:sz w:val="24"/>
          <w:szCs w:val="24"/>
        </w:rPr>
        <w:t xml:space="preserve">Pour baisser la pression sur le taux de change, </w:t>
      </w:r>
      <w:r w:rsidR="00B376C9" w:rsidRPr="002241B1">
        <w:rPr>
          <w:rFonts w:ascii="Times New Roman" w:hAnsi="Times New Roman" w:cs="Times New Roman"/>
          <w:sz w:val="24"/>
          <w:szCs w:val="24"/>
        </w:rPr>
        <w:t>la BRH</w:t>
      </w:r>
      <w:r w:rsidR="00C63272" w:rsidRPr="002241B1">
        <w:rPr>
          <w:rFonts w:ascii="Times New Roman" w:hAnsi="Times New Roman" w:cs="Times New Roman"/>
          <w:sz w:val="24"/>
          <w:szCs w:val="24"/>
        </w:rPr>
        <w:t>,</w:t>
      </w:r>
      <w:r w:rsidR="00B376C9" w:rsidRPr="002241B1">
        <w:rPr>
          <w:rFonts w:ascii="Times New Roman" w:hAnsi="Times New Roman" w:cs="Times New Roman"/>
          <w:sz w:val="24"/>
          <w:szCs w:val="24"/>
        </w:rPr>
        <w:t xml:space="preserve"> de concert avec les sociétés de </w:t>
      </w:r>
      <w:r w:rsidR="00510B97" w:rsidRPr="002241B1">
        <w:rPr>
          <w:rFonts w:ascii="Times New Roman" w:hAnsi="Times New Roman" w:cs="Times New Roman"/>
          <w:sz w:val="24"/>
          <w:szCs w:val="24"/>
        </w:rPr>
        <w:t>carte de crédit et les banques c</w:t>
      </w:r>
      <w:r w:rsidR="00B376C9" w:rsidRPr="002241B1">
        <w:rPr>
          <w:rFonts w:ascii="Times New Roman" w:hAnsi="Times New Roman" w:cs="Times New Roman"/>
          <w:sz w:val="24"/>
          <w:szCs w:val="24"/>
        </w:rPr>
        <w:t>ommerciales</w:t>
      </w:r>
      <w:r w:rsidR="00C63272" w:rsidRPr="002241B1">
        <w:rPr>
          <w:rFonts w:ascii="Times New Roman" w:hAnsi="Times New Roman" w:cs="Times New Roman"/>
          <w:sz w:val="24"/>
          <w:szCs w:val="24"/>
        </w:rPr>
        <w:t>,</w:t>
      </w:r>
      <w:r w:rsidR="00B376C9" w:rsidRPr="002241B1">
        <w:rPr>
          <w:rFonts w:ascii="Times New Roman" w:hAnsi="Times New Roman" w:cs="Times New Roman"/>
          <w:sz w:val="24"/>
          <w:szCs w:val="24"/>
        </w:rPr>
        <w:t xml:space="preserve"> a autorisé la facturation en monnaie nationale de toutes les transactions faites par cartes de crédit émises en Haïti.</w:t>
      </w:r>
    </w:p>
    <w:p w:rsidR="00B376C9" w:rsidRPr="002241B1" w:rsidRDefault="00B376C9" w:rsidP="00772122">
      <w:pPr>
        <w:pStyle w:val="ListParagraph"/>
        <w:tabs>
          <w:tab w:val="left" w:pos="1176"/>
        </w:tabs>
        <w:spacing w:after="0"/>
        <w:jc w:val="both"/>
        <w:rPr>
          <w:rFonts w:ascii="Times New Roman" w:hAnsi="Times New Roman" w:cs="Times New Roman"/>
          <w:sz w:val="24"/>
          <w:szCs w:val="24"/>
        </w:rPr>
      </w:pPr>
    </w:p>
    <w:p w:rsidR="00AB384C" w:rsidRPr="002241B1" w:rsidRDefault="00AB384C" w:rsidP="00772122">
      <w:pPr>
        <w:tabs>
          <w:tab w:val="left" w:pos="1176"/>
        </w:tabs>
        <w:spacing w:after="0"/>
        <w:jc w:val="both"/>
        <w:rPr>
          <w:rFonts w:ascii="Times New Roman" w:hAnsi="Times New Roman" w:cs="Times New Roman"/>
          <w:sz w:val="24"/>
          <w:szCs w:val="24"/>
        </w:rPr>
      </w:pPr>
      <w:r w:rsidRPr="002241B1">
        <w:rPr>
          <w:rFonts w:ascii="Times New Roman" w:hAnsi="Times New Roman" w:cs="Times New Roman"/>
          <w:sz w:val="24"/>
          <w:szCs w:val="24"/>
        </w:rPr>
        <w:t xml:space="preserve">L’ensemble de ces mesures prises ont stabilisé le taux de change dans une quasi-parité </w:t>
      </w:r>
      <w:r w:rsidR="004918C1" w:rsidRPr="002241B1">
        <w:rPr>
          <w:rFonts w:ascii="Times New Roman" w:hAnsi="Times New Roman" w:cs="Times New Roman"/>
          <w:sz w:val="24"/>
          <w:szCs w:val="24"/>
        </w:rPr>
        <w:t>fixe d’un (</w:t>
      </w:r>
      <w:r w:rsidRPr="002241B1">
        <w:rPr>
          <w:rFonts w:ascii="Times New Roman" w:hAnsi="Times New Roman" w:cs="Times New Roman"/>
          <w:sz w:val="24"/>
          <w:szCs w:val="24"/>
        </w:rPr>
        <w:t>1</w:t>
      </w:r>
      <w:r w:rsidR="004918C1" w:rsidRPr="002241B1">
        <w:rPr>
          <w:rFonts w:ascii="Times New Roman" w:hAnsi="Times New Roman" w:cs="Times New Roman"/>
          <w:sz w:val="24"/>
          <w:szCs w:val="24"/>
        </w:rPr>
        <w:t>)</w:t>
      </w:r>
      <w:r w:rsidRPr="002241B1">
        <w:rPr>
          <w:rFonts w:ascii="Times New Roman" w:hAnsi="Times New Roman" w:cs="Times New Roman"/>
          <w:sz w:val="24"/>
          <w:szCs w:val="24"/>
        </w:rPr>
        <w:t xml:space="preserve"> dollar pour 43.90 gourdes</w:t>
      </w:r>
      <w:r w:rsidR="00B96644" w:rsidRPr="002241B1">
        <w:rPr>
          <w:rFonts w:ascii="Times New Roman" w:hAnsi="Times New Roman" w:cs="Times New Roman"/>
          <w:sz w:val="24"/>
          <w:szCs w:val="24"/>
        </w:rPr>
        <w:t>,</w:t>
      </w:r>
      <w:r w:rsidR="004E3863" w:rsidRPr="002241B1">
        <w:rPr>
          <w:rFonts w:ascii="Times New Roman" w:hAnsi="Times New Roman" w:cs="Times New Roman"/>
          <w:sz w:val="24"/>
          <w:szCs w:val="24"/>
        </w:rPr>
        <w:t xml:space="preserve"> </w:t>
      </w:r>
      <w:r w:rsidR="00510B97" w:rsidRPr="002241B1">
        <w:rPr>
          <w:rFonts w:ascii="Times New Roman" w:hAnsi="Times New Roman" w:cs="Times New Roman"/>
          <w:sz w:val="24"/>
          <w:szCs w:val="24"/>
        </w:rPr>
        <w:t>taux de change affiché par les b</w:t>
      </w:r>
      <w:r w:rsidRPr="002241B1">
        <w:rPr>
          <w:rFonts w:ascii="Times New Roman" w:hAnsi="Times New Roman" w:cs="Times New Roman"/>
          <w:sz w:val="24"/>
          <w:szCs w:val="24"/>
        </w:rPr>
        <w:t>anques commerciales de juillet à septembre 2013.</w:t>
      </w:r>
      <w:r w:rsidR="00510B97" w:rsidRPr="002241B1">
        <w:rPr>
          <w:rFonts w:ascii="Times New Roman" w:hAnsi="Times New Roman" w:cs="Times New Roman"/>
          <w:sz w:val="24"/>
          <w:szCs w:val="24"/>
        </w:rPr>
        <w:t xml:space="preserve"> </w:t>
      </w:r>
    </w:p>
    <w:p w:rsidR="00B96644" w:rsidRPr="002241B1" w:rsidRDefault="00B96644" w:rsidP="00772122">
      <w:pPr>
        <w:pStyle w:val="ListParagraph"/>
        <w:tabs>
          <w:tab w:val="left" w:pos="1176"/>
        </w:tabs>
        <w:spacing w:after="0"/>
        <w:jc w:val="both"/>
        <w:rPr>
          <w:rFonts w:ascii="Times New Roman" w:hAnsi="Times New Roman" w:cs="Times New Roman"/>
          <w:sz w:val="24"/>
          <w:szCs w:val="24"/>
        </w:rPr>
      </w:pPr>
    </w:p>
    <w:p w:rsidR="00B96644" w:rsidRPr="002241B1" w:rsidRDefault="00B96644" w:rsidP="00772122">
      <w:pPr>
        <w:tabs>
          <w:tab w:val="left" w:pos="1176"/>
        </w:tabs>
        <w:spacing w:after="0"/>
        <w:jc w:val="both"/>
        <w:rPr>
          <w:rFonts w:ascii="Times New Roman" w:hAnsi="Times New Roman" w:cs="Times New Roman"/>
          <w:sz w:val="24"/>
          <w:szCs w:val="24"/>
        </w:rPr>
      </w:pPr>
      <w:r w:rsidRPr="002241B1">
        <w:rPr>
          <w:rFonts w:ascii="Times New Roman" w:hAnsi="Times New Roman" w:cs="Times New Roman"/>
          <w:sz w:val="24"/>
          <w:szCs w:val="24"/>
        </w:rPr>
        <w:t>La stabilité du taux de change est allée de pair avec une croissan</w:t>
      </w:r>
      <w:r w:rsidR="002010B7">
        <w:rPr>
          <w:rFonts w:ascii="Times New Roman" w:hAnsi="Times New Roman" w:cs="Times New Roman"/>
          <w:sz w:val="24"/>
          <w:szCs w:val="24"/>
        </w:rPr>
        <w:t>ce de la demande de crédit de 22</w:t>
      </w:r>
      <w:r w:rsidRPr="002241B1">
        <w:rPr>
          <w:rFonts w:ascii="Times New Roman" w:hAnsi="Times New Roman" w:cs="Times New Roman"/>
          <w:sz w:val="24"/>
          <w:szCs w:val="24"/>
        </w:rPr>
        <w:t xml:space="preserve">% dans l’économie et une réduction significative des liquidités accumulées par le système bancaire. La position de réserves </w:t>
      </w:r>
      <w:r w:rsidR="00CF580B" w:rsidRPr="002241B1">
        <w:rPr>
          <w:rFonts w:ascii="Times New Roman" w:hAnsi="Times New Roman" w:cs="Times New Roman"/>
          <w:sz w:val="24"/>
          <w:szCs w:val="24"/>
        </w:rPr>
        <w:t>en gourdes était de 3 milliards de gourdes</w:t>
      </w:r>
      <w:r w:rsidR="008039BA" w:rsidRPr="002241B1">
        <w:rPr>
          <w:rFonts w:ascii="Times New Roman" w:hAnsi="Times New Roman" w:cs="Times New Roman"/>
          <w:sz w:val="24"/>
          <w:szCs w:val="24"/>
        </w:rPr>
        <w:t>,</w:t>
      </w:r>
      <w:r w:rsidR="00CF580B" w:rsidRPr="002241B1">
        <w:rPr>
          <w:rFonts w:ascii="Times New Roman" w:hAnsi="Times New Roman" w:cs="Times New Roman"/>
          <w:sz w:val="24"/>
          <w:szCs w:val="24"/>
        </w:rPr>
        <w:t xml:space="preserve"> fin aout</w:t>
      </w:r>
      <w:r w:rsidR="002010B7">
        <w:rPr>
          <w:rFonts w:ascii="Times New Roman" w:hAnsi="Times New Roman" w:cs="Times New Roman"/>
          <w:sz w:val="24"/>
          <w:szCs w:val="24"/>
        </w:rPr>
        <w:t xml:space="preserve"> et fin septembre</w:t>
      </w:r>
      <w:r w:rsidR="00CF580B" w:rsidRPr="002241B1">
        <w:rPr>
          <w:rFonts w:ascii="Times New Roman" w:hAnsi="Times New Roman" w:cs="Times New Roman"/>
          <w:sz w:val="24"/>
          <w:szCs w:val="24"/>
        </w:rPr>
        <w:t xml:space="preserve"> 2013, celle en dollars atteignait 56 millions</w:t>
      </w:r>
      <w:r w:rsidR="00EC7291">
        <w:rPr>
          <w:rFonts w:ascii="Times New Roman" w:hAnsi="Times New Roman" w:cs="Times New Roman"/>
          <w:sz w:val="24"/>
          <w:szCs w:val="24"/>
        </w:rPr>
        <w:t xml:space="preserve"> en aout et 32.6 millions</w:t>
      </w:r>
      <w:r w:rsidR="00B709E5">
        <w:rPr>
          <w:rFonts w:ascii="Times New Roman" w:hAnsi="Times New Roman" w:cs="Times New Roman"/>
          <w:sz w:val="24"/>
          <w:szCs w:val="24"/>
        </w:rPr>
        <w:t xml:space="preserve"> en fin d’exercice. </w:t>
      </w:r>
    </w:p>
    <w:p w:rsidR="002B7930" w:rsidRPr="002241B1" w:rsidRDefault="002B7930" w:rsidP="00772122">
      <w:pPr>
        <w:pStyle w:val="ListParagraph"/>
        <w:tabs>
          <w:tab w:val="left" w:pos="1176"/>
        </w:tabs>
        <w:spacing w:after="0"/>
        <w:jc w:val="both"/>
        <w:rPr>
          <w:rFonts w:ascii="Times New Roman" w:hAnsi="Times New Roman" w:cs="Times New Roman"/>
          <w:sz w:val="24"/>
          <w:szCs w:val="24"/>
        </w:rPr>
      </w:pPr>
    </w:p>
    <w:p w:rsidR="002B7930" w:rsidRPr="002241B1" w:rsidRDefault="002B7930" w:rsidP="00772122">
      <w:pPr>
        <w:tabs>
          <w:tab w:val="left" w:pos="1176"/>
        </w:tabs>
        <w:spacing w:after="0"/>
        <w:jc w:val="both"/>
        <w:rPr>
          <w:rFonts w:ascii="Times New Roman" w:hAnsi="Times New Roman" w:cs="Times New Roman"/>
          <w:sz w:val="24"/>
          <w:szCs w:val="24"/>
        </w:rPr>
      </w:pPr>
      <w:r w:rsidRPr="002241B1">
        <w:rPr>
          <w:rFonts w:ascii="Times New Roman" w:hAnsi="Times New Roman" w:cs="Times New Roman"/>
          <w:sz w:val="24"/>
          <w:szCs w:val="24"/>
        </w:rPr>
        <w:t>Parallèlement à la réduction des liquidités</w:t>
      </w:r>
      <w:r w:rsidR="00FC2920" w:rsidRPr="002241B1">
        <w:rPr>
          <w:rFonts w:ascii="Times New Roman" w:hAnsi="Times New Roman" w:cs="Times New Roman"/>
          <w:sz w:val="24"/>
          <w:szCs w:val="24"/>
        </w:rPr>
        <w:t xml:space="preserve">,  </w:t>
      </w:r>
      <w:r w:rsidR="002E6D21" w:rsidRPr="002241B1">
        <w:rPr>
          <w:rFonts w:ascii="Times New Roman" w:hAnsi="Times New Roman" w:cs="Times New Roman"/>
          <w:sz w:val="24"/>
          <w:szCs w:val="24"/>
        </w:rPr>
        <w:t>constat</w:t>
      </w:r>
      <w:r w:rsidR="00FC2920" w:rsidRPr="002241B1">
        <w:rPr>
          <w:rFonts w:ascii="Times New Roman" w:hAnsi="Times New Roman" w:cs="Times New Roman"/>
          <w:sz w:val="24"/>
          <w:szCs w:val="24"/>
        </w:rPr>
        <w:t xml:space="preserve"> a </w:t>
      </w:r>
      <w:r w:rsidR="002E6D21" w:rsidRPr="002241B1">
        <w:rPr>
          <w:rFonts w:ascii="Times New Roman" w:hAnsi="Times New Roman" w:cs="Times New Roman"/>
          <w:sz w:val="24"/>
          <w:szCs w:val="24"/>
        </w:rPr>
        <w:t>é</w:t>
      </w:r>
      <w:r w:rsidR="00FC2920" w:rsidRPr="002241B1">
        <w:rPr>
          <w:rFonts w:ascii="Times New Roman" w:hAnsi="Times New Roman" w:cs="Times New Roman"/>
          <w:sz w:val="24"/>
          <w:szCs w:val="24"/>
        </w:rPr>
        <w:t>té fait d’</w:t>
      </w:r>
      <w:r w:rsidR="002E6D21" w:rsidRPr="002241B1">
        <w:rPr>
          <w:rFonts w:ascii="Times New Roman" w:hAnsi="Times New Roman" w:cs="Times New Roman"/>
          <w:sz w:val="24"/>
          <w:szCs w:val="24"/>
        </w:rPr>
        <w:t>une baisse de l’enc</w:t>
      </w:r>
      <w:r w:rsidR="008039BA" w:rsidRPr="002241B1">
        <w:rPr>
          <w:rFonts w:ascii="Times New Roman" w:hAnsi="Times New Roman" w:cs="Times New Roman"/>
          <w:sz w:val="24"/>
          <w:szCs w:val="24"/>
        </w:rPr>
        <w:t>ours des fonds placés dans les b</w:t>
      </w:r>
      <w:r w:rsidR="002E6D21" w:rsidRPr="002241B1">
        <w:rPr>
          <w:rFonts w:ascii="Times New Roman" w:hAnsi="Times New Roman" w:cs="Times New Roman"/>
          <w:sz w:val="24"/>
          <w:szCs w:val="24"/>
        </w:rPr>
        <w:t>ons émis pa</w:t>
      </w:r>
      <w:r w:rsidR="00B709E5">
        <w:rPr>
          <w:rFonts w:ascii="Times New Roman" w:hAnsi="Times New Roman" w:cs="Times New Roman"/>
          <w:sz w:val="24"/>
          <w:szCs w:val="24"/>
        </w:rPr>
        <w:t>r la Banque Centrale. Au 30 septembre</w:t>
      </w:r>
      <w:r w:rsidR="008039BA" w:rsidRPr="002241B1">
        <w:rPr>
          <w:rFonts w:ascii="Times New Roman" w:hAnsi="Times New Roman" w:cs="Times New Roman"/>
          <w:sz w:val="24"/>
          <w:szCs w:val="24"/>
        </w:rPr>
        <w:t xml:space="preserve"> 2013</w:t>
      </w:r>
      <w:r w:rsidR="002E6D21" w:rsidRPr="002241B1">
        <w:rPr>
          <w:rFonts w:ascii="Times New Roman" w:hAnsi="Times New Roman" w:cs="Times New Roman"/>
          <w:sz w:val="24"/>
          <w:szCs w:val="24"/>
        </w:rPr>
        <w:t xml:space="preserve">, l’encours des </w:t>
      </w:r>
      <w:r w:rsidR="0048338A" w:rsidRPr="002241B1">
        <w:rPr>
          <w:rFonts w:ascii="Times New Roman" w:hAnsi="Times New Roman" w:cs="Times New Roman"/>
          <w:sz w:val="24"/>
          <w:szCs w:val="24"/>
        </w:rPr>
        <w:t>b</w:t>
      </w:r>
      <w:r w:rsidR="00B709E5">
        <w:rPr>
          <w:rFonts w:ascii="Times New Roman" w:hAnsi="Times New Roman" w:cs="Times New Roman"/>
          <w:sz w:val="24"/>
          <w:szCs w:val="24"/>
        </w:rPr>
        <w:t>ons BRH s’élevait à 5.9</w:t>
      </w:r>
      <w:r w:rsidR="002E6D21" w:rsidRPr="002241B1">
        <w:rPr>
          <w:rFonts w:ascii="Times New Roman" w:hAnsi="Times New Roman" w:cs="Times New Roman"/>
          <w:sz w:val="24"/>
          <w:szCs w:val="24"/>
        </w:rPr>
        <w:t xml:space="preserve"> milliards de gourdes contre 6</w:t>
      </w:r>
      <w:r w:rsidR="00FC2920" w:rsidRPr="002241B1">
        <w:rPr>
          <w:rFonts w:ascii="Times New Roman" w:hAnsi="Times New Roman" w:cs="Times New Roman"/>
          <w:sz w:val="24"/>
          <w:szCs w:val="24"/>
        </w:rPr>
        <w:t>.2</w:t>
      </w:r>
      <w:r w:rsidR="002E6D21" w:rsidRPr="002241B1">
        <w:rPr>
          <w:rFonts w:ascii="Times New Roman" w:hAnsi="Times New Roman" w:cs="Times New Roman"/>
          <w:sz w:val="24"/>
          <w:szCs w:val="24"/>
        </w:rPr>
        <w:t xml:space="preserve"> mil</w:t>
      </w:r>
      <w:r w:rsidR="00066E37">
        <w:rPr>
          <w:rFonts w:ascii="Times New Roman" w:hAnsi="Times New Roman" w:cs="Times New Roman"/>
          <w:sz w:val="24"/>
          <w:szCs w:val="24"/>
        </w:rPr>
        <w:t>liard</w:t>
      </w:r>
      <w:r w:rsidR="00863B5D">
        <w:rPr>
          <w:rFonts w:ascii="Times New Roman" w:hAnsi="Times New Roman" w:cs="Times New Roman"/>
          <w:sz w:val="24"/>
          <w:szCs w:val="24"/>
        </w:rPr>
        <w:t>s en début d’exercice. Trois (3</w:t>
      </w:r>
      <w:r w:rsidR="002E6D21" w:rsidRPr="002241B1">
        <w:rPr>
          <w:rFonts w:ascii="Times New Roman" w:hAnsi="Times New Roman" w:cs="Times New Roman"/>
          <w:sz w:val="24"/>
          <w:szCs w:val="24"/>
        </w:rPr>
        <w:t>) banq</w:t>
      </w:r>
      <w:r w:rsidR="00887B85" w:rsidRPr="002241B1">
        <w:rPr>
          <w:rFonts w:ascii="Times New Roman" w:hAnsi="Times New Roman" w:cs="Times New Roman"/>
          <w:sz w:val="24"/>
          <w:szCs w:val="24"/>
        </w:rPr>
        <w:t>ues du système di</w:t>
      </w:r>
      <w:r w:rsidR="0048338A" w:rsidRPr="002241B1">
        <w:rPr>
          <w:rFonts w:ascii="Times New Roman" w:hAnsi="Times New Roman" w:cs="Times New Roman"/>
          <w:sz w:val="24"/>
          <w:szCs w:val="24"/>
        </w:rPr>
        <w:t>sposent encore de b</w:t>
      </w:r>
      <w:r w:rsidR="00887B85" w:rsidRPr="002241B1">
        <w:rPr>
          <w:rFonts w:ascii="Times New Roman" w:hAnsi="Times New Roman" w:cs="Times New Roman"/>
          <w:sz w:val="24"/>
          <w:szCs w:val="24"/>
        </w:rPr>
        <w:t>ons BRH et la Banque Nationa</w:t>
      </w:r>
      <w:r w:rsidR="00982EC6">
        <w:rPr>
          <w:rFonts w:ascii="Times New Roman" w:hAnsi="Times New Roman" w:cs="Times New Roman"/>
          <w:sz w:val="24"/>
          <w:szCs w:val="24"/>
        </w:rPr>
        <w:t>le de Crédit avait à elle seule</w:t>
      </w:r>
      <w:r w:rsidR="00B709E5">
        <w:rPr>
          <w:rFonts w:ascii="Times New Roman" w:hAnsi="Times New Roman" w:cs="Times New Roman"/>
          <w:sz w:val="24"/>
          <w:szCs w:val="24"/>
        </w:rPr>
        <w:t xml:space="preserve"> la </w:t>
      </w:r>
      <w:r w:rsidR="00982EC6">
        <w:rPr>
          <w:rFonts w:ascii="Times New Roman" w:hAnsi="Times New Roman" w:cs="Times New Roman"/>
          <w:sz w:val="24"/>
          <w:szCs w:val="24"/>
        </w:rPr>
        <w:t>quasi-totalité du stock.</w:t>
      </w:r>
    </w:p>
    <w:p w:rsidR="00D1053B" w:rsidRPr="002241B1" w:rsidRDefault="00D1053B" w:rsidP="00772122">
      <w:pPr>
        <w:pStyle w:val="ListParagraph"/>
        <w:tabs>
          <w:tab w:val="left" w:pos="1176"/>
        </w:tabs>
        <w:spacing w:after="0"/>
        <w:jc w:val="both"/>
        <w:rPr>
          <w:rFonts w:ascii="Times New Roman" w:hAnsi="Times New Roman" w:cs="Times New Roman"/>
          <w:sz w:val="24"/>
          <w:szCs w:val="24"/>
        </w:rPr>
      </w:pPr>
    </w:p>
    <w:p w:rsidR="00D1053B" w:rsidRPr="002241B1" w:rsidRDefault="00D1053B" w:rsidP="001651BC">
      <w:pPr>
        <w:tabs>
          <w:tab w:val="left" w:pos="1176"/>
        </w:tabs>
        <w:spacing w:after="0"/>
        <w:jc w:val="both"/>
        <w:rPr>
          <w:rFonts w:ascii="Times New Roman" w:hAnsi="Times New Roman" w:cs="Times New Roman"/>
          <w:sz w:val="24"/>
          <w:szCs w:val="24"/>
        </w:rPr>
      </w:pPr>
      <w:r w:rsidRPr="002241B1">
        <w:rPr>
          <w:rFonts w:ascii="Times New Roman" w:hAnsi="Times New Roman" w:cs="Times New Roman"/>
          <w:sz w:val="24"/>
          <w:szCs w:val="24"/>
        </w:rPr>
        <w:t xml:space="preserve">Une nouvelle orientation se dessine dans la conduite de la politique monétaire. Les grandes lignes </w:t>
      </w:r>
      <w:r w:rsidR="00A730EB" w:rsidRPr="002241B1">
        <w:rPr>
          <w:rFonts w:ascii="Times New Roman" w:hAnsi="Times New Roman" w:cs="Times New Roman"/>
          <w:sz w:val="24"/>
          <w:szCs w:val="24"/>
        </w:rPr>
        <w:t>de cette orientation sont connues depuis la conclusion des accords de lutte contre la pauvreté et la facilité élargie de crédit signés avec le FMI. Elles se mat</w:t>
      </w:r>
      <w:r w:rsidR="00CF1DC0" w:rsidRPr="002241B1">
        <w:rPr>
          <w:rFonts w:ascii="Times New Roman" w:hAnsi="Times New Roman" w:cs="Times New Roman"/>
          <w:sz w:val="24"/>
          <w:szCs w:val="24"/>
        </w:rPr>
        <w:t>érialisent en 2012-2013</w:t>
      </w:r>
      <w:r w:rsidR="00667E44" w:rsidRPr="002241B1">
        <w:rPr>
          <w:rFonts w:ascii="Times New Roman" w:hAnsi="Times New Roman" w:cs="Times New Roman"/>
          <w:sz w:val="24"/>
          <w:szCs w:val="24"/>
        </w:rPr>
        <w:t xml:space="preserve"> par</w:t>
      </w:r>
      <w:r w:rsidR="007C1778" w:rsidRPr="002241B1">
        <w:rPr>
          <w:rFonts w:ascii="Times New Roman" w:hAnsi="Times New Roman" w:cs="Times New Roman"/>
          <w:sz w:val="24"/>
          <w:szCs w:val="24"/>
        </w:rPr>
        <w:t>:</w:t>
      </w:r>
    </w:p>
    <w:p w:rsidR="007C1778" w:rsidRPr="002241B1" w:rsidRDefault="00CF1DC0" w:rsidP="00772122">
      <w:pPr>
        <w:pStyle w:val="ListParagraph"/>
        <w:numPr>
          <w:ilvl w:val="0"/>
          <w:numId w:val="8"/>
        </w:numPr>
        <w:tabs>
          <w:tab w:val="left" w:pos="360"/>
          <w:tab w:val="left" w:pos="450"/>
          <w:tab w:val="left" w:pos="720"/>
          <w:tab w:val="left" w:pos="810"/>
          <w:tab w:val="left" w:pos="1176"/>
        </w:tabs>
        <w:spacing w:after="0"/>
        <w:ind w:left="720"/>
        <w:jc w:val="both"/>
        <w:rPr>
          <w:rFonts w:ascii="Times New Roman" w:hAnsi="Times New Roman" w:cs="Times New Roman"/>
          <w:sz w:val="24"/>
          <w:szCs w:val="24"/>
        </w:rPr>
      </w:pPr>
      <w:r w:rsidRPr="002241B1">
        <w:rPr>
          <w:rFonts w:ascii="Times New Roman" w:hAnsi="Times New Roman" w:cs="Times New Roman"/>
          <w:sz w:val="24"/>
          <w:szCs w:val="24"/>
        </w:rPr>
        <w:t>La c</w:t>
      </w:r>
      <w:r w:rsidR="005C1E6B" w:rsidRPr="002241B1">
        <w:rPr>
          <w:rFonts w:ascii="Times New Roman" w:hAnsi="Times New Roman" w:cs="Times New Roman"/>
          <w:sz w:val="24"/>
          <w:szCs w:val="24"/>
        </w:rPr>
        <w:t xml:space="preserve">onservation du système de change flexible avec des interventions ponctuelles de </w:t>
      </w:r>
      <w:r w:rsidR="00E21B2B" w:rsidRPr="002241B1">
        <w:rPr>
          <w:rFonts w:ascii="Times New Roman" w:hAnsi="Times New Roman" w:cs="Times New Roman"/>
          <w:sz w:val="24"/>
          <w:szCs w:val="24"/>
        </w:rPr>
        <w:t>la Banque Centrale pour mainten</w:t>
      </w:r>
      <w:r w:rsidR="005C1E6B" w:rsidRPr="002241B1">
        <w:rPr>
          <w:rFonts w:ascii="Times New Roman" w:hAnsi="Times New Roman" w:cs="Times New Roman"/>
          <w:sz w:val="24"/>
          <w:szCs w:val="24"/>
        </w:rPr>
        <w:t>i</w:t>
      </w:r>
      <w:r w:rsidR="00E21B2B" w:rsidRPr="002241B1">
        <w:rPr>
          <w:rFonts w:ascii="Times New Roman" w:hAnsi="Times New Roman" w:cs="Times New Roman"/>
          <w:sz w:val="24"/>
          <w:szCs w:val="24"/>
        </w:rPr>
        <w:t>r</w:t>
      </w:r>
      <w:r w:rsidR="005C1E6B" w:rsidRPr="002241B1">
        <w:rPr>
          <w:rFonts w:ascii="Times New Roman" w:hAnsi="Times New Roman" w:cs="Times New Roman"/>
          <w:sz w:val="24"/>
          <w:szCs w:val="24"/>
        </w:rPr>
        <w:t xml:space="preserve"> le taux dans une fourchette définie.</w:t>
      </w:r>
    </w:p>
    <w:p w:rsidR="00E21B2B" w:rsidRPr="002241B1" w:rsidRDefault="00CF1DC0" w:rsidP="00772122">
      <w:pPr>
        <w:pStyle w:val="ListParagraph"/>
        <w:numPr>
          <w:ilvl w:val="0"/>
          <w:numId w:val="8"/>
        </w:numPr>
        <w:tabs>
          <w:tab w:val="left" w:pos="360"/>
          <w:tab w:val="left" w:pos="450"/>
          <w:tab w:val="left" w:pos="720"/>
          <w:tab w:val="left" w:pos="810"/>
          <w:tab w:val="left" w:pos="1176"/>
        </w:tabs>
        <w:spacing w:after="0"/>
        <w:ind w:left="720"/>
        <w:jc w:val="both"/>
        <w:rPr>
          <w:rFonts w:ascii="Times New Roman" w:hAnsi="Times New Roman" w:cs="Times New Roman"/>
          <w:sz w:val="24"/>
          <w:szCs w:val="24"/>
        </w:rPr>
      </w:pPr>
      <w:r w:rsidRPr="002241B1">
        <w:rPr>
          <w:rFonts w:ascii="Times New Roman" w:hAnsi="Times New Roman" w:cs="Times New Roman"/>
          <w:sz w:val="24"/>
          <w:szCs w:val="24"/>
        </w:rPr>
        <w:t>Le d</w:t>
      </w:r>
      <w:r w:rsidR="00B75EE0" w:rsidRPr="002241B1">
        <w:rPr>
          <w:rFonts w:ascii="Times New Roman" w:hAnsi="Times New Roman" w:cs="Times New Roman"/>
          <w:sz w:val="24"/>
          <w:szCs w:val="24"/>
        </w:rPr>
        <w:t>ésengagement</w:t>
      </w:r>
      <w:r w:rsidR="00226607" w:rsidRPr="002241B1">
        <w:rPr>
          <w:rFonts w:ascii="Times New Roman" w:hAnsi="Times New Roman" w:cs="Times New Roman"/>
          <w:sz w:val="24"/>
          <w:szCs w:val="24"/>
        </w:rPr>
        <w:t xml:space="preserve"> progressif de la Banque Centrale dans le processus de financement </w:t>
      </w:r>
      <w:r w:rsidR="00400ABA" w:rsidRPr="002241B1">
        <w:rPr>
          <w:rFonts w:ascii="Times New Roman" w:hAnsi="Times New Roman" w:cs="Times New Roman"/>
          <w:sz w:val="24"/>
          <w:szCs w:val="24"/>
        </w:rPr>
        <w:t>du déficit public.</w:t>
      </w:r>
    </w:p>
    <w:p w:rsidR="00400ABA" w:rsidRPr="002241B1" w:rsidRDefault="00CF1DC0" w:rsidP="00772122">
      <w:pPr>
        <w:pStyle w:val="ListParagraph"/>
        <w:numPr>
          <w:ilvl w:val="0"/>
          <w:numId w:val="8"/>
        </w:numPr>
        <w:tabs>
          <w:tab w:val="left" w:pos="360"/>
          <w:tab w:val="left" w:pos="450"/>
          <w:tab w:val="left" w:pos="720"/>
          <w:tab w:val="left" w:pos="810"/>
          <w:tab w:val="left" w:pos="1176"/>
        </w:tabs>
        <w:spacing w:after="0"/>
        <w:ind w:left="720"/>
        <w:jc w:val="both"/>
        <w:rPr>
          <w:rFonts w:ascii="Times New Roman" w:hAnsi="Times New Roman" w:cs="Times New Roman"/>
          <w:sz w:val="24"/>
          <w:szCs w:val="24"/>
        </w:rPr>
      </w:pPr>
      <w:r w:rsidRPr="002241B1">
        <w:rPr>
          <w:rFonts w:ascii="Times New Roman" w:hAnsi="Times New Roman" w:cs="Times New Roman"/>
          <w:sz w:val="24"/>
          <w:szCs w:val="24"/>
        </w:rPr>
        <w:t>L’a</w:t>
      </w:r>
      <w:r w:rsidR="00F21CBF" w:rsidRPr="002241B1">
        <w:rPr>
          <w:rFonts w:ascii="Times New Roman" w:hAnsi="Times New Roman" w:cs="Times New Roman"/>
          <w:sz w:val="24"/>
          <w:szCs w:val="24"/>
        </w:rPr>
        <w:t>ppel à l’épargne du public pour financer le solde d</w:t>
      </w:r>
      <w:r w:rsidR="00843257" w:rsidRPr="002241B1">
        <w:rPr>
          <w:rFonts w:ascii="Times New Roman" w:hAnsi="Times New Roman" w:cs="Times New Roman"/>
          <w:sz w:val="24"/>
          <w:szCs w:val="24"/>
        </w:rPr>
        <w:t>éficitaire des opérations du</w:t>
      </w:r>
      <w:r w:rsidR="00F21CBF" w:rsidRPr="002241B1">
        <w:rPr>
          <w:rFonts w:ascii="Times New Roman" w:hAnsi="Times New Roman" w:cs="Times New Roman"/>
          <w:sz w:val="24"/>
          <w:szCs w:val="24"/>
        </w:rPr>
        <w:t xml:space="preserve"> Trésor Public.</w:t>
      </w:r>
      <w:r w:rsidR="00586398" w:rsidRPr="002241B1">
        <w:rPr>
          <w:rFonts w:ascii="Times New Roman" w:hAnsi="Times New Roman" w:cs="Times New Roman"/>
          <w:sz w:val="24"/>
          <w:szCs w:val="24"/>
        </w:rPr>
        <w:t xml:space="preserve"> Durant l’exercice 2012-2013, le Ministère de l’Economie et des </w:t>
      </w:r>
      <w:r w:rsidR="005746EF" w:rsidRPr="002241B1">
        <w:rPr>
          <w:rFonts w:ascii="Times New Roman" w:hAnsi="Times New Roman" w:cs="Times New Roman"/>
          <w:sz w:val="24"/>
          <w:szCs w:val="24"/>
        </w:rPr>
        <w:t>Finances</w:t>
      </w:r>
      <w:r w:rsidR="00586398" w:rsidRPr="002241B1">
        <w:rPr>
          <w:rFonts w:ascii="Times New Roman" w:hAnsi="Times New Roman" w:cs="Times New Roman"/>
          <w:sz w:val="24"/>
          <w:szCs w:val="24"/>
        </w:rPr>
        <w:t xml:space="preserve"> a lancé quatre (4) appels d’offre en vue de l’émission de certificats </w:t>
      </w:r>
      <w:r w:rsidR="00EE3E5C" w:rsidRPr="002241B1">
        <w:rPr>
          <w:rFonts w:ascii="Times New Roman" w:hAnsi="Times New Roman" w:cs="Times New Roman"/>
          <w:sz w:val="24"/>
          <w:szCs w:val="24"/>
        </w:rPr>
        <w:t xml:space="preserve">de trésorerie d’une valeur nominale de 10.4 milliards de gourdes à maturité de </w:t>
      </w:r>
      <w:r w:rsidR="00AC57F4" w:rsidRPr="002241B1">
        <w:rPr>
          <w:rFonts w:ascii="Times New Roman" w:hAnsi="Times New Roman" w:cs="Times New Roman"/>
          <w:sz w:val="24"/>
          <w:szCs w:val="24"/>
        </w:rPr>
        <w:t>cent quatre vingt deux (</w:t>
      </w:r>
      <w:r w:rsidR="00EE3E5C" w:rsidRPr="002241B1">
        <w:rPr>
          <w:rFonts w:ascii="Times New Roman" w:hAnsi="Times New Roman" w:cs="Times New Roman"/>
          <w:sz w:val="24"/>
          <w:szCs w:val="24"/>
        </w:rPr>
        <w:t>182</w:t>
      </w:r>
      <w:r w:rsidR="00AC57F4" w:rsidRPr="002241B1">
        <w:rPr>
          <w:rFonts w:ascii="Times New Roman" w:hAnsi="Times New Roman" w:cs="Times New Roman"/>
          <w:sz w:val="24"/>
          <w:szCs w:val="24"/>
        </w:rPr>
        <w:t>)</w:t>
      </w:r>
      <w:r w:rsidR="00EE3E5C" w:rsidRPr="002241B1">
        <w:rPr>
          <w:rFonts w:ascii="Times New Roman" w:hAnsi="Times New Roman" w:cs="Times New Roman"/>
          <w:sz w:val="24"/>
          <w:szCs w:val="24"/>
        </w:rPr>
        <w:t xml:space="preserve"> jours </w:t>
      </w:r>
      <w:r w:rsidR="005746EF" w:rsidRPr="002241B1">
        <w:rPr>
          <w:rFonts w:ascii="Times New Roman" w:hAnsi="Times New Roman" w:cs="Times New Roman"/>
          <w:sz w:val="24"/>
          <w:szCs w:val="24"/>
        </w:rPr>
        <w:t>et à des taux d’intérêts allant de 3 à 3.5% l’an.</w:t>
      </w:r>
    </w:p>
    <w:p w:rsidR="00E03A84" w:rsidRDefault="00E03A84" w:rsidP="00E03A84">
      <w:pPr>
        <w:tabs>
          <w:tab w:val="left" w:pos="1176"/>
        </w:tabs>
        <w:spacing w:after="0"/>
        <w:rPr>
          <w:rFonts w:cs="Times New Roman"/>
          <w:sz w:val="28"/>
          <w:szCs w:val="28"/>
        </w:rPr>
      </w:pPr>
    </w:p>
    <w:p w:rsidR="002160FD" w:rsidRDefault="002160FD" w:rsidP="00E03A84">
      <w:pPr>
        <w:tabs>
          <w:tab w:val="left" w:pos="1176"/>
        </w:tabs>
        <w:spacing w:after="0"/>
        <w:rPr>
          <w:rFonts w:cs="Times New Roman"/>
          <w:sz w:val="28"/>
          <w:szCs w:val="28"/>
        </w:rPr>
      </w:pPr>
    </w:p>
    <w:p w:rsidR="00982EC6" w:rsidRDefault="00982EC6" w:rsidP="00E03A84">
      <w:pPr>
        <w:tabs>
          <w:tab w:val="left" w:pos="1176"/>
        </w:tabs>
        <w:spacing w:after="0"/>
        <w:rPr>
          <w:rFonts w:cs="Times New Roman"/>
          <w:sz w:val="28"/>
          <w:szCs w:val="28"/>
        </w:rPr>
      </w:pPr>
    </w:p>
    <w:p w:rsidR="00982EC6" w:rsidRPr="001A5F38" w:rsidRDefault="00982EC6" w:rsidP="00E03A84">
      <w:pPr>
        <w:tabs>
          <w:tab w:val="left" w:pos="1176"/>
        </w:tabs>
        <w:spacing w:after="0"/>
        <w:rPr>
          <w:rFonts w:cs="Times New Roman"/>
          <w:sz w:val="28"/>
          <w:szCs w:val="28"/>
        </w:rPr>
      </w:pPr>
    </w:p>
    <w:p w:rsidR="00AF6D23" w:rsidRPr="001A5F38" w:rsidRDefault="00E03A84" w:rsidP="00E03A84">
      <w:pPr>
        <w:tabs>
          <w:tab w:val="left" w:pos="1176"/>
        </w:tabs>
        <w:spacing w:after="0"/>
        <w:rPr>
          <w:rFonts w:cs="Times New Roman"/>
          <w:b/>
          <w:sz w:val="28"/>
          <w:szCs w:val="28"/>
          <w:u w:val="single"/>
        </w:rPr>
      </w:pPr>
      <w:r w:rsidRPr="001A5F38">
        <w:rPr>
          <w:rFonts w:cs="Times New Roman"/>
          <w:b/>
          <w:sz w:val="28"/>
          <w:szCs w:val="28"/>
        </w:rPr>
        <w:lastRenderedPageBreak/>
        <w:t xml:space="preserve">II)  </w:t>
      </w:r>
      <w:r w:rsidRPr="001A5F38">
        <w:rPr>
          <w:rFonts w:cs="Times New Roman"/>
          <w:b/>
          <w:sz w:val="28"/>
          <w:szCs w:val="28"/>
          <w:u w:val="single"/>
        </w:rPr>
        <w:t>La</w:t>
      </w:r>
      <w:r w:rsidR="00AF6D23" w:rsidRPr="001A5F38">
        <w:rPr>
          <w:rFonts w:cs="Times New Roman"/>
          <w:b/>
          <w:sz w:val="28"/>
          <w:szCs w:val="28"/>
          <w:u w:val="single"/>
        </w:rPr>
        <w:t xml:space="preserve"> compensation électronique</w:t>
      </w:r>
    </w:p>
    <w:p w:rsidR="00131B13" w:rsidRPr="001A5F38" w:rsidRDefault="00131B13" w:rsidP="00772122">
      <w:pPr>
        <w:pStyle w:val="ListParagraph"/>
        <w:tabs>
          <w:tab w:val="left" w:pos="1176"/>
        </w:tabs>
        <w:spacing w:after="0"/>
        <w:ind w:left="1800"/>
        <w:jc w:val="both"/>
        <w:rPr>
          <w:rFonts w:cs="Times New Roman"/>
          <w:sz w:val="28"/>
          <w:szCs w:val="28"/>
        </w:rPr>
      </w:pPr>
    </w:p>
    <w:p w:rsidR="00AF6D23" w:rsidRPr="002241B1" w:rsidRDefault="00AF6D23" w:rsidP="00772122">
      <w:pPr>
        <w:tabs>
          <w:tab w:val="left" w:pos="1176"/>
        </w:tabs>
        <w:spacing w:after="0"/>
        <w:jc w:val="both"/>
        <w:rPr>
          <w:rFonts w:ascii="Times New Roman" w:hAnsi="Times New Roman" w:cs="Times New Roman"/>
          <w:sz w:val="24"/>
          <w:szCs w:val="24"/>
        </w:rPr>
      </w:pPr>
      <w:r w:rsidRPr="002241B1">
        <w:rPr>
          <w:rFonts w:ascii="Times New Roman" w:hAnsi="Times New Roman" w:cs="Times New Roman"/>
          <w:sz w:val="24"/>
          <w:szCs w:val="24"/>
        </w:rPr>
        <w:t>Le système est opérationnel depuis juillet 2013</w:t>
      </w:r>
      <w:r w:rsidR="000913B8" w:rsidRPr="002241B1">
        <w:rPr>
          <w:rFonts w:ascii="Times New Roman" w:hAnsi="Times New Roman" w:cs="Times New Roman"/>
          <w:sz w:val="24"/>
          <w:szCs w:val="24"/>
        </w:rPr>
        <w:t xml:space="preserve">, il fonctionne à la satisfaction des </w:t>
      </w:r>
      <w:r w:rsidR="002241B1">
        <w:rPr>
          <w:rFonts w:ascii="Times New Roman" w:hAnsi="Times New Roman" w:cs="Times New Roman"/>
          <w:sz w:val="24"/>
          <w:szCs w:val="24"/>
        </w:rPr>
        <w:t>c</w:t>
      </w:r>
      <w:r w:rsidR="00C86C67" w:rsidRPr="002241B1">
        <w:rPr>
          <w:rFonts w:ascii="Times New Roman" w:hAnsi="Times New Roman" w:cs="Times New Roman"/>
          <w:sz w:val="24"/>
          <w:szCs w:val="24"/>
        </w:rPr>
        <w:t>oncepteurs</w:t>
      </w:r>
      <w:r w:rsidR="000913B8" w:rsidRPr="002241B1">
        <w:rPr>
          <w:rFonts w:ascii="Times New Roman" w:hAnsi="Times New Roman" w:cs="Times New Roman"/>
          <w:sz w:val="24"/>
          <w:szCs w:val="24"/>
        </w:rPr>
        <w:t xml:space="preserve"> du projet ainsi</w:t>
      </w:r>
      <w:r w:rsidR="00D52577" w:rsidRPr="002241B1">
        <w:rPr>
          <w:rFonts w:ascii="Times New Roman" w:hAnsi="Times New Roman" w:cs="Times New Roman"/>
          <w:sz w:val="24"/>
          <w:szCs w:val="24"/>
        </w:rPr>
        <w:t xml:space="preserve"> que d</w:t>
      </w:r>
      <w:r w:rsidR="00452F32" w:rsidRPr="002241B1">
        <w:rPr>
          <w:rFonts w:ascii="Times New Roman" w:hAnsi="Times New Roman" w:cs="Times New Roman"/>
          <w:sz w:val="24"/>
          <w:szCs w:val="24"/>
        </w:rPr>
        <w:t xml:space="preserve">es bénéficiaires. La clientèle dispose maintenant d’un délai raisonnable de compensation des </w:t>
      </w:r>
      <w:r w:rsidR="00D52577" w:rsidRPr="002241B1">
        <w:rPr>
          <w:rFonts w:ascii="Times New Roman" w:hAnsi="Times New Roman" w:cs="Times New Roman"/>
          <w:sz w:val="24"/>
          <w:szCs w:val="24"/>
        </w:rPr>
        <w:t>chèque</w:t>
      </w:r>
      <w:r w:rsidR="00BE7802" w:rsidRPr="002241B1">
        <w:rPr>
          <w:rFonts w:ascii="Times New Roman" w:hAnsi="Times New Roman" w:cs="Times New Roman"/>
          <w:sz w:val="24"/>
          <w:szCs w:val="24"/>
        </w:rPr>
        <w:t>s</w:t>
      </w:r>
      <w:r w:rsidR="00D52577" w:rsidRPr="002241B1">
        <w:rPr>
          <w:rFonts w:ascii="Times New Roman" w:hAnsi="Times New Roman" w:cs="Times New Roman"/>
          <w:sz w:val="24"/>
          <w:szCs w:val="24"/>
        </w:rPr>
        <w:t xml:space="preserve"> déposé</w:t>
      </w:r>
      <w:r w:rsidR="00BE7802" w:rsidRPr="002241B1">
        <w:rPr>
          <w:rFonts w:ascii="Times New Roman" w:hAnsi="Times New Roman" w:cs="Times New Roman"/>
          <w:sz w:val="24"/>
          <w:szCs w:val="24"/>
        </w:rPr>
        <w:t>s</w:t>
      </w:r>
      <w:r w:rsidR="00F430E2" w:rsidRPr="002241B1">
        <w:rPr>
          <w:rFonts w:ascii="Times New Roman" w:hAnsi="Times New Roman" w:cs="Times New Roman"/>
          <w:sz w:val="24"/>
          <w:szCs w:val="24"/>
        </w:rPr>
        <w:t xml:space="preserve"> ne dépassant pas </w:t>
      </w:r>
      <w:r w:rsidR="00D52577" w:rsidRPr="002241B1">
        <w:rPr>
          <w:rFonts w:ascii="Times New Roman" w:hAnsi="Times New Roman" w:cs="Times New Roman"/>
          <w:sz w:val="24"/>
          <w:szCs w:val="24"/>
        </w:rPr>
        <w:t xml:space="preserve">deux (2) jours </w:t>
      </w:r>
      <w:r w:rsidR="00F430E2" w:rsidRPr="002241B1">
        <w:rPr>
          <w:rFonts w:ascii="Times New Roman" w:hAnsi="Times New Roman" w:cs="Times New Roman"/>
          <w:sz w:val="24"/>
          <w:szCs w:val="24"/>
        </w:rPr>
        <w:t xml:space="preserve">soit le jour du dépôt </w:t>
      </w:r>
      <w:r w:rsidR="00F07095" w:rsidRPr="002241B1">
        <w:rPr>
          <w:rFonts w:ascii="Times New Roman" w:hAnsi="Times New Roman" w:cs="Times New Roman"/>
          <w:sz w:val="24"/>
          <w:szCs w:val="24"/>
        </w:rPr>
        <w:t xml:space="preserve">plus un jour </w:t>
      </w:r>
      <w:r w:rsidR="00D52577" w:rsidRPr="002241B1">
        <w:rPr>
          <w:rFonts w:ascii="Times New Roman" w:hAnsi="Times New Roman" w:cs="Times New Roman"/>
          <w:sz w:val="24"/>
          <w:szCs w:val="24"/>
        </w:rPr>
        <w:t xml:space="preserve">(J+1). </w:t>
      </w:r>
      <w:r w:rsidR="000913B8" w:rsidRPr="002241B1">
        <w:rPr>
          <w:rFonts w:ascii="Times New Roman" w:hAnsi="Times New Roman" w:cs="Times New Roman"/>
          <w:sz w:val="24"/>
          <w:szCs w:val="24"/>
        </w:rPr>
        <w:t xml:space="preserve"> </w:t>
      </w:r>
      <w:r w:rsidR="005C7C0F" w:rsidRPr="002241B1">
        <w:rPr>
          <w:rFonts w:ascii="Times New Roman" w:hAnsi="Times New Roman" w:cs="Times New Roman"/>
          <w:sz w:val="24"/>
          <w:szCs w:val="24"/>
        </w:rPr>
        <w:t>Pour arriver à cette fin, de nombreuses séances de travail ont réuni</w:t>
      </w:r>
      <w:r w:rsidR="00667E44" w:rsidRPr="002241B1">
        <w:rPr>
          <w:rFonts w:ascii="Times New Roman" w:hAnsi="Times New Roman" w:cs="Times New Roman"/>
          <w:sz w:val="24"/>
          <w:szCs w:val="24"/>
        </w:rPr>
        <w:t xml:space="preserve"> à l’APB,</w:t>
      </w:r>
      <w:r w:rsidR="005C7C0F" w:rsidRPr="002241B1">
        <w:rPr>
          <w:rFonts w:ascii="Times New Roman" w:hAnsi="Times New Roman" w:cs="Times New Roman"/>
          <w:sz w:val="24"/>
          <w:szCs w:val="24"/>
        </w:rPr>
        <w:t xml:space="preserve"> hebdomadairement</w:t>
      </w:r>
      <w:r w:rsidR="00667E44" w:rsidRPr="002241B1">
        <w:rPr>
          <w:rFonts w:ascii="Times New Roman" w:hAnsi="Times New Roman" w:cs="Times New Roman"/>
          <w:sz w:val="24"/>
          <w:szCs w:val="24"/>
        </w:rPr>
        <w:t>,</w:t>
      </w:r>
      <w:r w:rsidR="005C7C0F" w:rsidRPr="002241B1">
        <w:rPr>
          <w:rFonts w:ascii="Times New Roman" w:hAnsi="Times New Roman" w:cs="Times New Roman"/>
          <w:sz w:val="24"/>
          <w:szCs w:val="24"/>
        </w:rPr>
        <w:t xml:space="preserve"> des techniciens de la BRH et des banques commerciales, </w:t>
      </w:r>
      <w:r w:rsidR="00E028C2" w:rsidRPr="002241B1">
        <w:rPr>
          <w:rFonts w:ascii="Times New Roman" w:hAnsi="Times New Roman" w:cs="Times New Roman"/>
          <w:sz w:val="24"/>
          <w:szCs w:val="24"/>
        </w:rPr>
        <w:t xml:space="preserve">d’épargne et de logement </w:t>
      </w:r>
      <w:r w:rsidR="00F05433" w:rsidRPr="002241B1">
        <w:rPr>
          <w:rFonts w:ascii="Times New Roman" w:hAnsi="Times New Roman" w:cs="Times New Roman"/>
          <w:sz w:val="24"/>
          <w:szCs w:val="24"/>
        </w:rPr>
        <w:t xml:space="preserve">pour discuter et trouver des solutions à des détails techniques, </w:t>
      </w:r>
      <w:r w:rsidR="00BF6CCB" w:rsidRPr="002241B1">
        <w:rPr>
          <w:rFonts w:ascii="Times New Roman" w:hAnsi="Times New Roman" w:cs="Times New Roman"/>
          <w:sz w:val="24"/>
          <w:szCs w:val="24"/>
        </w:rPr>
        <w:t xml:space="preserve">concevoir </w:t>
      </w:r>
      <w:r w:rsidR="00716A64" w:rsidRPr="002241B1">
        <w:rPr>
          <w:rFonts w:ascii="Times New Roman" w:hAnsi="Times New Roman" w:cs="Times New Roman"/>
          <w:sz w:val="24"/>
          <w:szCs w:val="24"/>
        </w:rPr>
        <w:t>les formats des rapports</w:t>
      </w:r>
      <w:r w:rsidR="006B7018" w:rsidRPr="002241B1">
        <w:rPr>
          <w:rFonts w:ascii="Times New Roman" w:hAnsi="Times New Roman" w:cs="Times New Roman"/>
          <w:sz w:val="24"/>
          <w:szCs w:val="24"/>
        </w:rPr>
        <w:t>, analyser et commenter les documents légaux</w:t>
      </w:r>
      <w:r w:rsidR="00385B19" w:rsidRPr="002241B1">
        <w:rPr>
          <w:rFonts w:ascii="Times New Roman" w:hAnsi="Times New Roman" w:cs="Times New Roman"/>
          <w:sz w:val="24"/>
          <w:szCs w:val="24"/>
        </w:rPr>
        <w:t>, proposer les plans de contingence</w:t>
      </w:r>
      <w:r w:rsidR="00C86C67" w:rsidRPr="002241B1">
        <w:rPr>
          <w:rFonts w:ascii="Times New Roman" w:hAnsi="Times New Roman" w:cs="Times New Roman"/>
          <w:sz w:val="24"/>
          <w:szCs w:val="24"/>
        </w:rPr>
        <w:t>, prévoir des périodes de test</w:t>
      </w:r>
      <w:r w:rsidR="00667E44" w:rsidRPr="002241B1">
        <w:rPr>
          <w:rFonts w:ascii="Times New Roman" w:hAnsi="Times New Roman" w:cs="Times New Roman"/>
          <w:sz w:val="24"/>
          <w:szCs w:val="24"/>
        </w:rPr>
        <w:t>…</w:t>
      </w:r>
      <w:r w:rsidR="00C86C67" w:rsidRPr="002241B1">
        <w:rPr>
          <w:rFonts w:ascii="Times New Roman" w:hAnsi="Times New Roman" w:cs="Times New Roman"/>
          <w:sz w:val="24"/>
          <w:szCs w:val="24"/>
        </w:rPr>
        <w:t>etc.</w:t>
      </w:r>
    </w:p>
    <w:p w:rsidR="00AD390D" w:rsidRPr="002241B1" w:rsidRDefault="00AD390D" w:rsidP="00772122">
      <w:pPr>
        <w:tabs>
          <w:tab w:val="left" w:pos="1176"/>
        </w:tabs>
        <w:spacing w:after="0"/>
        <w:ind w:left="1080"/>
        <w:jc w:val="both"/>
        <w:rPr>
          <w:rFonts w:ascii="Times New Roman" w:hAnsi="Times New Roman" w:cs="Times New Roman"/>
          <w:sz w:val="24"/>
          <w:szCs w:val="24"/>
        </w:rPr>
      </w:pPr>
    </w:p>
    <w:p w:rsidR="00AD390D" w:rsidRPr="002241B1" w:rsidRDefault="00AD390D" w:rsidP="00772122">
      <w:pPr>
        <w:tabs>
          <w:tab w:val="left" w:pos="1176"/>
        </w:tabs>
        <w:spacing w:after="0"/>
        <w:jc w:val="both"/>
        <w:rPr>
          <w:rFonts w:ascii="Times New Roman" w:hAnsi="Times New Roman" w:cs="Times New Roman"/>
          <w:sz w:val="24"/>
          <w:szCs w:val="24"/>
        </w:rPr>
      </w:pPr>
      <w:r w:rsidRPr="002241B1">
        <w:rPr>
          <w:rFonts w:ascii="Times New Roman" w:hAnsi="Times New Roman" w:cs="Times New Roman"/>
          <w:sz w:val="24"/>
          <w:szCs w:val="24"/>
        </w:rPr>
        <w:t xml:space="preserve">Toutefois, au cours </w:t>
      </w:r>
      <w:r w:rsidR="00564591" w:rsidRPr="002241B1">
        <w:rPr>
          <w:rFonts w:ascii="Times New Roman" w:hAnsi="Times New Roman" w:cs="Times New Roman"/>
          <w:sz w:val="24"/>
          <w:szCs w:val="24"/>
        </w:rPr>
        <w:t>des réunions en Assemblée Générale, les membres de l</w:t>
      </w:r>
      <w:r w:rsidR="00C25982" w:rsidRPr="002241B1">
        <w:rPr>
          <w:rFonts w:ascii="Times New Roman" w:hAnsi="Times New Roman" w:cs="Times New Roman"/>
          <w:sz w:val="24"/>
          <w:szCs w:val="24"/>
        </w:rPr>
        <w:t>’APB</w:t>
      </w:r>
      <w:r w:rsidR="004D30AD" w:rsidRPr="002241B1">
        <w:rPr>
          <w:rFonts w:ascii="Times New Roman" w:hAnsi="Times New Roman" w:cs="Times New Roman"/>
          <w:sz w:val="24"/>
          <w:szCs w:val="24"/>
        </w:rPr>
        <w:t xml:space="preserve"> </w:t>
      </w:r>
      <w:r w:rsidR="00564591" w:rsidRPr="002241B1">
        <w:rPr>
          <w:rFonts w:ascii="Times New Roman" w:hAnsi="Times New Roman" w:cs="Times New Roman"/>
          <w:sz w:val="24"/>
          <w:szCs w:val="24"/>
        </w:rPr>
        <w:t xml:space="preserve">estiment que certains problèmes subsistent : les plans </w:t>
      </w:r>
      <w:r w:rsidR="002337C6" w:rsidRPr="002241B1">
        <w:rPr>
          <w:rFonts w:ascii="Times New Roman" w:hAnsi="Times New Roman" w:cs="Times New Roman"/>
          <w:sz w:val="24"/>
          <w:szCs w:val="24"/>
        </w:rPr>
        <w:t xml:space="preserve">de contingence interne doivent </w:t>
      </w:r>
      <w:r w:rsidR="001A62F0" w:rsidRPr="002241B1">
        <w:rPr>
          <w:rFonts w:ascii="Times New Roman" w:hAnsi="Times New Roman" w:cs="Times New Roman"/>
          <w:sz w:val="24"/>
          <w:szCs w:val="24"/>
        </w:rPr>
        <w:t>être</w:t>
      </w:r>
      <w:r w:rsidR="002337C6" w:rsidRPr="002241B1">
        <w:rPr>
          <w:rFonts w:ascii="Times New Roman" w:hAnsi="Times New Roman" w:cs="Times New Roman"/>
          <w:sz w:val="24"/>
          <w:szCs w:val="24"/>
        </w:rPr>
        <w:t xml:space="preserve"> mieux rodés. Un rapport (Incoming) en cours de </w:t>
      </w:r>
      <w:r w:rsidR="00D57AFC" w:rsidRPr="002241B1">
        <w:rPr>
          <w:rFonts w:ascii="Times New Roman" w:hAnsi="Times New Roman" w:cs="Times New Roman"/>
          <w:sz w:val="24"/>
          <w:szCs w:val="24"/>
        </w:rPr>
        <w:t xml:space="preserve">journée est à prévoir par la BRH </w:t>
      </w:r>
      <w:r w:rsidR="004A1D23" w:rsidRPr="002241B1">
        <w:rPr>
          <w:rFonts w:ascii="Times New Roman" w:hAnsi="Times New Roman" w:cs="Times New Roman"/>
          <w:sz w:val="24"/>
          <w:szCs w:val="24"/>
        </w:rPr>
        <w:t xml:space="preserve">afin de confirmer la </w:t>
      </w:r>
      <w:r w:rsidR="001A62F0" w:rsidRPr="002241B1">
        <w:rPr>
          <w:rFonts w:ascii="Times New Roman" w:hAnsi="Times New Roman" w:cs="Times New Roman"/>
          <w:sz w:val="24"/>
          <w:szCs w:val="24"/>
        </w:rPr>
        <w:t>réception</w:t>
      </w:r>
      <w:r w:rsidR="004A1D23" w:rsidRPr="002241B1">
        <w:rPr>
          <w:rFonts w:ascii="Times New Roman" w:hAnsi="Times New Roman" w:cs="Times New Roman"/>
          <w:sz w:val="24"/>
          <w:szCs w:val="24"/>
        </w:rPr>
        <w:t xml:space="preserve"> des chèques </w:t>
      </w:r>
      <w:r w:rsidR="00AA6135" w:rsidRPr="002241B1">
        <w:rPr>
          <w:rFonts w:ascii="Times New Roman" w:hAnsi="Times New Roman" w:cs="Times New Roman"/>
          <w:sz w:val="24"/>
          <w:szCs w:val="24"/>
        </w:rPr>
        <w:t xml:space="preserve">au fur et à mesure </w:t>
      </w:r>
      <w:r w:rsidR="00AD27FC" w:rsidRPr="002241B1">
        <w:rPr>
          <w:rFonts w:ascii="Times New Roman" w:hAnsi="Times New Roman" w:cs="Times New Roman"/>
          <w:sz w:val="24"/>
          <w:szCs w:val="24"/>
        </w:rPr>
        <w:t>des transmissions.</w:t>
      </w:r>
      <w:r w:rsidR="008A6A4C">
        <w:rPr>
          <w:rFonts w:ascii="Times New Roman" w:hAnsi="Times New Roman" w:cs="Times New Roman"/>
          <w:sz w:val="24"/>
          <w:szCs w:val="24"/>
        </w:rPr>
        <w:t xml:space="preserve"> Une liste de </w:t>
      </w:r>
      <w:r w:rsidR="002F20D0">
        <w:rPr>
          <w:rFonts w:ascii="Times New Roman" w:hAnsi="Times New Roman" w:cs="Times New Roman"/>
          <w:sz w:val="24"/>
          <w:szCs w:val="24"/>
        </w:rPr>
        <w:t>problèmes techniques, répertoriés par un comité créé lors de la dernière assemblée générale, doit être acheminée à la BRH.</w:t>
      </w:r>
    </w:p>
    <w:p w:rsidR="00AD390D" w:rsidRPr="001A5F38" w:rsidRDefault="00AD390D" w:rsidP="00772122">
      <w:pPr>
        <w:tabs>
          <w:tab w:val="left" w:pos="1176"/>
        </w:tabs>
        <w:spacing w:after="0"/>
        <w:ind w:left="1080"/>
        <w:jc w:val="both"/>
        <w:rPr>
          <w:rFonts w:cs="Times New Roman"/>
          <w:sz w:val="28"/>
          <w:szCs w:val="28"/>
        </w:rPr>
      </w:pPr>
      <w:r w:rsidRPr="001A5F38">
        <w:rPr>
          <w:rFonts w:cs="Times New Roman"/>
          <w:sz w:val="28"/>
          <w:szCs w:val="28"/>
        </w:rPr>
        <w:tab/>
      </w:r>
      <w:r w:rsidRPr="001A5F38">
        <w:rPr>
          <w:rFonts w:cs="Times New Roman"/>
          <w:sz w:val="28"/>
          <w:szCs w:val="28"/>
        </w:rPr>
        <w:tab/>
      </w:r>
      <w:r w:rsidRPr="001A5F38">
        <w:rPr>
          <w:rFonts w:cs="Times New Roman"/>
          <w:sz w:val="28"/>
          <w:szCs w:val="28"/>
        </w:rPr>
        <w:tab/>
      </w:r>
    </w:p>
    <w:p w:rsidR="00887B85" w:rsidRPr="001A5F38" w:rsidRDefault="006C2F05" w:rsidP="006C2F05">
      <w:pPr>
        <w:tabs>
          <w:tab w:val="left" w:pos="1176"/>
        </w:tabs>
        <w:spacing w:after="0"/>
        <w:jc w:val="both"/>
        <w:rPr>
          <w:rFonts w:cs="Times New Roman"/>
          <w:b/>
          <w:sz w:val="28"/>
          <w:szCs w:val="28"/>
          <w:u w:val="single"/>
        </w:rPr>
      </w:pPr>
      <w:r w:rsidRPr="001A5F38">
        <w:rPr>
          <w:rFonts w:cs="Times New Roman"/>
          <w:b/>
          <w:sz w:val="28"/>
          <w:szCs w:val="28"/>
        </w:rPr>
        <w:t xml:space="preserve">III)  </w:t>
      </w:r>
      <w:r w:rsidRPr="001A5F38">
        <w:rPr>
          <w:rFonts w:cs="Times New Roman"/>
          <w:b/>
          <w:sz w:val="28"/>
          <w:szCs w:val="28"/>
          <w:u w:val="single"/>
        </w:rPr>
        <w:t>Lutte</w:t>
      </w:r>
      <w:r w:rsidR="00667E44" w:rsidRPr="001A5F38">
        <w:rPr>
          <w:rFonts w:cs="Times New Roman"/>
          <w:b/>
          <w:sz w:val="28"/>
          <w:szCs w:val="28"/>
          <w:u w:val="single"/>
        </w:rPr>
        <w:t xml:space="preserve"> contre le </w:t>
      </w:r>
      <w:r w:rsidR="00E8137C" w:rsidRPr="001A5F38">
        <w:rPr>
          <w:rFonts w:cs="Times New Roman"/>
          <w:b/>
          <w:sz w:val="28"/>
          <w:szCs w:val="28"/>
          <w:u w:val="single"/>
        </w:rPr>
        <w:t>B</w:t>
      </w:r>
      <w:r w:rsidR="00667E44" w:rsidRPr="001A5F38">
        <w:rPr>
          <w:rFonts w:cs="Times New Roman"/>
          <w:b/>
          <w:sz w:val="28"/>
          <w:szCs w:val="28"/>
          <w:u w:val="single"/>
        </w:rPr>
        <w:t>lanchiment des</w:t>
      </w:r>
      <w:r w:rsidR="00E8137C" w:rsidRPr="001A5F38">
        <w:rPr>
          <w:rFonts w:cs="Times New Roman"/>
          <w:b/>
          <w:sz w:val="28"/>
          <w:szCs w:val="28"/>
          <w:u w:val="single"/>
        </w:rPr>
        <w:t xml:space="preserve"> capitaux et le Financement du T</w:t>
      </w:r>
      <w:r w:rsidR="00667E44" w:rsidRPr="001A5F38">
        <w:rPr>
          <w:rFonts w:cs="Times New Roman"/>
          <w:b/>
          <w:sz w:val="28"/>
          <w:szCs w:val="28"/>
          <w:u w:val="single"/>
        </w:rPr>
        <w:t>errorisme</w:t>
      </w:r>
    </w:p>
    <w:p w:rsidR="00896C68" w:rsidRPr="002241B1" w:rsidRDefault="00896C68" w:rsidP="00772122">
      <w:pPr>
        <w:pStyle w:val="ListParagraph"/>
        <w:tabs>
          <w:tab w:val="left" w:pos="1176"/>
        </w:tabs>
        <w:spacing w:after="0"/>
        <w:ind w:left="1800"/>
        <w:jc w:val="both"/>
        <w:rPr>
          <w:rFonts w:ascii="Times New Roman" w:hAnsi="Times New Roman" w:cs="Times New Roman"/>
          <w:sz w:val="24"/>
          <w:szCs w:val="24"/>
        </w:rPr>
      </w:pPr>
    </w:p>
    <w:p w:rsidR="00E8137C" w:rsidRPr="002241B1" w:rsidRDefault="00E8137C" w:rsidP="00772122">
      <w:pPr>
        <w:tabs>
          <w:tab w:val="left" w:pos="1176"/>
        </w:tabs>
        <w:spacing w:after="0"/>
        <w:jc w:val="both"/>
        <w:rPr>
          <w:rFonts w:ascii="Times New Roman" w:hAnsi="Times New Roman" w:cs="Times New Roman"/>
          <w:sz w:val="24"/>
          <w:szCs w:val="24"/>
        </w:rPr>
      </w:pPr>
      <w:r w:rsidRPr="002241B1">
        <w:rPr>
          <w:rFonts w:ascii="Times New Roman" w:hAnsi="Times New Roman" w:cs="Times New Roman"/>
          <w:sz w:val="24"/>
          <w:szCs w:val="24"/>
        </w:rPr>
        <w:t xml:space="preserve">La loi </w:t>
      </w:r>
      <w:r w:rsidR="00BD68CD" w:rsidRPr="002241B1">
        <w:rPr>
          <w:rFonts w:ascii="Times New Roman" w:hAnsi="Times New Roman" w:cs="Times New Roman"/>
          <w:sz w:val="24"/>
          <w:szCs w:val="24"/>
        </w:rPr>
        <w:t>sanctionnant le Blanchiment de capitaux et le F</w:t>
      </w:r>
      <w:r w:rsidR="008576BF" w:rsidRPr="002241B1">
        <w:rPr>
          <w:rFonts w:ascii="Times New Roman" w:hAnsi="Times New Roman" w:cs="Times New Roman"/>
          <w:sz w:val="24"/>
          <w:szCs w:val="24"/>
        </w:rPr>
        <w:t>inancement du terrorisme a été voté</w:t>
      </w:r>
      <w:r w:rsidR="00D31AB2" w:rsidRPr="002241B1">
        <w:rPr>
          <w:rFonts w:ascii="Times New Roman" w:hAnsi="Times New Roman" w:cs="Times New Roman"/>
          <w:sz w:val="24"/>
          <w:szCs w:val="24"/>
        </w:rPr>
        <w:t>e</w:t>
      </w:r>
      <w:r w:rsidR="008576BF" w:rsidRPr="002241B1">
        <w:rPr>
          <w:rFonts w:ascii="Times New Roman" w:hAnsi="Times New Roman" w:cs="Times New Roman"/>
          <w:sz w:val="24"/>
          <w:szCs w:val="24"/>
        </w:rPr>
        <w:t xml:space="preserve"> </w:t>
      </w:r>
      <w:r w:rsidR="00BD68CD" w:rsidRPr="002241B1">
        <w:rPr>
          <w:rFonts w:ascii="Times New Roman" w:hAnsi="Times New Roman" w:cs="Times New Roman"/>
          <w:sz w:val="24"/>
          <w:szCs w:val="24"/>
        </w:rPr>
        <w:t xml:space="preserve">en février 2013 par le Sénat de la République. La </w:t>
      </w:r>
      <w:r w:rsidR="00EA17B2" w:rsidRPr="002241B1">
        <w:rPr>
          <w:rFonts w:ascii="Times New Roman" w:hAnsi="Times New Roman" w:cs="Times New Roman"/>
          <w:sz w:val="24"/>
          <w:szCs w:val="24"/>
        </w:rPr>
        <w:t>Chambre L</w:t>
      </w:r>
      <w:r w:rsidR="00747315" w:rsidRPr="002241B1">
        <w:rPr>
          <w:rFonts w:ascii="Times New Roman" w:hAnsi="Times New Roman" w:cs="Times New Roman"/>
          <w:sz w:val="24"/>
          <w:szCs w:val="24"/>
        </w:rPr>
        <w:t xml:space="preserve">égislative </w:t>
      </w:r>
      <w:r w:rsidR="00F5189B" w:rsidRPr="002241B1">
        <w:rPr>
          <w:rFonts w:ascii="Times New Roman" w:hAnsi="Times New Roman" w:cs="Times New Roman"/>
          <w:sz w:val="24"/>
          <w:szCs w:val="24"/>
        </w:rPr>
        <w:t xml:space="preserve">l’a approuvée en </w:t>
      </w:r>
      <w:r w:rsidR="00C25982" w:rsidRPr="002241B1">
        <w:rPr>
          <w:rFonts w:ascii="Times New Roman" w:hAnsi="Times New Roman" w:cs="Times New Roman"/>
          <w:sz w:val="24"/>
          <w:szCs w:val="24"/>
        </w:rPr>
        <w:t>septembre</w:t>
      </w:r>
      <w:r w:rsidR="00F5189B" w:rsidRPr="002241B1">
        <w:rPr>
          <w:rFonts w:ascii="Times New Roman" w:hAnsi="Times New Roman" w:cs="Times New Roman"/>
          <w:sz w:val="24"/>
          <w:szCs w:val="24"/>
        </w:rPr>
        <w:t xml:space="preserve"> 2013.</w:t>
      </w:r>
      <w:r w:rsidR="002F20D0">
        <w:rPr>
          <w:rFonts w:ascii="Times New Roman" w:hAnsi="Times New Roman" w:cs="Times New Roman"/>
          <w:sz w:val="24"/>
          <w:szCs w:val="24"/>
        </w:rPr>
        <w:t xml:space="preserve">Toutefois, certains articles ont été votés en des termes différents. </w:t>
      </w:r>
      <w:r w:rsidR="00F5189B" w:rsidRPr="002241B1">
        <w:rPr>
          <w:rFonts w:ascii="Times New Roman" w:hAnsi="Times New Roman" w:cs="Times New Roman"/>
          <w:sz w:val="24"/>
          <w:szCs w:val="24"/>
        </w:rPr>
        <w:t xml:space="preserve"> Cette loi est d’</w:t>
      </w:r>
      <w:r w:rsidR="005B004F" w:rsidRPr="002241B1">
        <w:rPr>
          <w:rFonts w:ascii="Times New Roman" w:hAnsi="Times New Roman" w:cs="Times New Roman"/>
          <w:sz w:val="24"/>
          <w:szCs w:val="24"/>
        </w:rPr>
        <w:t>une importanc</w:t>
      </w:r>
      <w:r w:rsidR="00F5189B" w:rsidRPr="002241B1">
        <w:rPr>
          <w:rFonts w:ascii="Times New Roman" w:hAnsi="Times New Roman" w:cs="Times New Roman"/>
          <w:sz w:val="24"/>
          <w:szCs w:val="24"/>
        </w:rPr>
        <w:t>e capitale pour le pays et le système</w:t>
      </w:r>
      <w:r w:rsidR="00EE7E51" w:rsidRPr="002241B1">
        <w:rPr>
          <w:rFonts w:ascii="Times New Roman" w:hAnsi="Times New Roman" w:cs="Times New Roman"/>
          <w:sz w:val="24"/>
          <w:szCs w:val="24"/>
        </w:rPr>
        <w:t xml:space="preserve"> bancaire qui se trouv</w:t>
      </w:r>
      <w:r w:rsidR="002F20D0">
        <w:rPr>
          <w:rFonts w:ascii="Times New Roman" w:hAnsi="Times New Roman" w:cs="Times New Roman"/>
          <w:sz w:val="24"/>
          <w:szCs w:val="24"/>
        </w:rPr>
        <w:t>ent</w:t>
      </w:r>
      <w:r w:rsidR="00EE7E51" w:rsidRPr="002241B1">
        <w:rPr>
          <w:rFonts w:ascii="Times New Roman" w:hAnsi="Times New Roman" w:cs="Times New Roman"/>
          <w:sz w:val="24"/>
          <w:szCs w:val="24"/>
        </w:rPr>
        <w:t xml:space="preserve"> sous la menace de sanctions des institutions internationales impliquées dans la lutte contre le Blanchiment des avoirs.</w:t>
      </w:r>
    </w:p>
    <w:p w:rsidR="00EE7E51" w:rsidRPr="002241B1" w:rsidRDefault="00EE7E51" w:rsidP="00772122">
      <w:pPr>
        <w:tabs>
          <w:tab w:val="left" w:pos="1176"/>
        </w:tabs>
        <w:spacing w:after="0"/>
        <w:jc w:val="both"/>
        <w:rPr>
          <w:rFonts w:ascii="Times New Roman" w:hAnsi="Times New Roman" w:cs="Times New Roman"/>
          <w:sz w:val="24"/>
          <w:szCs w:val="24"/>
        </w:rPr>
      </w:pPr>
    </w:p>
    <w:p w:rsidR="00C25982" w:rsidRPr="002241B1" w:rsidRDefault="00394224" w:rsidP="00772122">
      <w:pPr>
        <w:tabs>
          <w:tab w:val="left" w:pos="1176"/>
        </w:tabs>
        <w:spacing w:after="0"/>
        <w:jc w:val="both"/>
        <w:rPr>
          <w:rFonts w:ascii="Times New Roman" w:hAnsi="Times New Roman" w:cs="Times New Roman"/>
          <w:sz w:val="24"/>
          <w:szCs w:val="24"/>
        </w:rPr>
      </w:pPr>
      <w:r w:rsidRPr="002241B1">
        <w:rPr>
          <w:rFonts w:ascii="Times New Roman" w:hAnsi="Times New Roman" w:cs="Times New Roman"/>
          <w:sz w:val="24"/>
          <w:szCs w:val="24"/>
        </w:rPr>
        <w:t xml:space="preserve">Pour faire avancer ce dossier et sortir cette loi de l’impasse, les membres de l’APB ont participé à des </w:t>
      </w:r>
      <w:r w:rsidR="00692930" w:rsidRPr="002241B1">
        <w:rPr>
          <w:rFonts w:ascii="Times New Roman" w:hAnsi="Times New Roman" w:cs="Times New Roman"/>
          <w:sz w:val="24"/>
          <w:szCs w:val="24"/>
        </w:rPr>
        <w:t>ateliers de travail organisés par le Senat, ils ont pris part également à des séances d’audit</w:t>
      </w:r>
      <w:r w:rsidR="00224309" w:rsidRPr="002241B1">
        <w:rPr>
          <w:rFonts w:ascii="Times New Roman" w:hAnsi="Times New Roman" w:cs="Times New Roman"/>
          <w:sz w:val="24"/>
          <w:szCs w:val="24"/>
        </w:rPr>
        <w:t>ion et de consultation publique. Une commission conjointe APB/BRH a rencontré</w:t>
      </w:r>
      <w:r w:rsidR="00EE2BB0" w:rsidRPr="002241B1">
        <w:rPr>
          <w:rFonts w:ascii="Times New Roman" w:hAnsi="Times New Roman" w:cs="Times New Roman"/>
          <w:sz w:val="24"/>
          <w:szCs w:val="24"/>
        </w:rPr>
        <w:t xml:space="preserve"> la commission Finances de la Chambre de</w:t>
      </w:r>
      <w:r w:rsidR="00D7372C" w:rsidRPr="002241B1">
        <w:rPr>
          <w:rFonts w:ascii="Times New Roman" w:hAnsi="Times New Roman" w:cs="Times New Roman"/>
          <w:sz w:val="24"/>
          <w:szCs w:val="24"/>
        </w:rPr>
        <w:t>s</w:t>
      </w:r>
      <w:r w:rsidR="005E423E" w:rsidRPr="002241B1">
        <w:rPr>
          <w:rFonts w:ascii="Times New Roman" w:hAnsi="Times New Roman" w:cs="Times New Roman"/>
          <w:sz w:val="24"/>
          <w:szCs w:val="24"/>
        </w:rPr>
        <w:t xml:space="preserve"> Députés pour sensibiliser s</w:t>
      </w:r>
      <w:r w:rsidR="00EE2BB0" w:rsidRPr="002241B1">
        <w:rPr>
          <w:rFonts w:ascii="Times New Roman" w:hAnsi="Times New Roman" w:cs="Times New Roman"/>
          <w:sz w:val="24"/>
          <w:szCs w:val="24"/>
        </w:rPr>
        <w:t xml:space="preserve">es membres </w:t>
      </w:r>
      <w:r w:rsidR="002D7DEC" w:rsidRPr="002241B1">
        <w:rPr>
          <w:rFonts w:ascii="Times New Roman" w:hAnsi="Times New Roman" w:cs="Times New Roman"/>
          <w:sz w:val="24"/>
          <w:szCs w:val="24"/>
        </w:rPr>
        <w:t>sur l’importance de la loi.</w:t>
      </w:r>
      <w:r w:rsidR="000C3654" w:rsidRPr="002241B1">
        <w:rPr>
          <w:rFonts w:ascii="Times New Roman" w:hAnsi="Times New Roman" w:cs="Times New Roman"/>
          <w:sz w:val="24"/>
          <w:szCs w:val="24"/>
        </w:rPr>
        <w:t xml:space="preserve"> </w:t>
      </w:r>
      <w:r w:rsidR="002F20D0">
        <w:rPr>
          <w:rFonts w:ascii="Times New Roman" w:hAnsi="Times New Roman" w:cs="Times New Roman"/>
          <w:sz w:val="24"/>
          <w:szCs w:val="24"/>
        </w:rPr>
        <w:t xml:space="preserve">Une récente lettre de l’APB acheminée au Senat suggère </w:t>
      </w:r>
      <w:r w:rsidR="00E52EB6">
        <w:rPr>
          <w:rFonts w:ascii="Times New Roman" w:hAnsi="Times New Roman" w:cs="Times New Roman"/>
          <w:sz w:val="24"/>
          <w:szCs w:val="24"/>
        </w:rPr>
        <w:t xml:space="preserve">un vote dans le même sens que le dernier texte adopté par la Chambre </w:t>
      </w:r>
      <w:r w:rsidR="00E35B31">
        <w:rPr>
          <w:rFonts w:ascii="Times New Roman" w:hAnsi="Times New Roman" w:cs="Times New Roman"/>
          <w:sz w:val="24"/>
          <w:szCs w:val="24"/>
        </w:rPr>
        <w:t>législative en attendant le moment propice pour effectuer les modifications nécessaires.</w:t>
      </w:r>
    </w:p>
    <w:p w:rsidR="00C25982" w:rsidRPr="002241B1" w:rsidRDefault="00C25982" w:rsidP="00772122">
      <w:pPr>
        <w:tabs>
          <w:tab w:val="left" w:pos="1176"/>
        </w:tabs>
        <w:spacing w:after="0"/>
        <w:jc w:val="both"/>
        <w:rPr>
          <w:rFonts w:ascii="Times New Roman" w:hAnsi="Times New Roman" w:cs="Times New Roman"/>
          <w:sz w:val="24"/>
          <w:szCs w:val="24"/>
        </w:rPr>
      </w:pPr>
    </w:p>
    <w:p w:rsidR="00EE7E51" w:rsidRPr="002241B1" w:rsidRDefault="000C3654" w:rsidP="00772122">
      <w:pPr>
        <w:tabs>
          <w:tab w:val="left" w:pos="1176"/>
        </w:tabs>
        <w:spacing w:after="0"/>
        <w:jc w:val="both"/>
        <w:rPr>
          <w:rFonts w:ascii="Times New Roman" w:hAnsi="Times New Roman" w:cs="Times New Roman"/>
          <w:sz w:val="24"/>
          <w:szCs w:val="24"/>
          <w:lang w:eastAsia="ko-KR"/>
        </w:rPr>
      </w:pPr>
      <w:r w:rsidRPr="002241B1">
        <w:rPr>
          <w:rFonts w:ascii="Times New Roman" w:hAnsi="Times New Roman" w:cs="Times New Roman"/>
          <w:sz w:val="24"/>
          <w:szCs w:val="24"/>
        </w:rPr>
        <w:t>Toutef</w:t>
      </w:r>
      <w:r w:rsidR="00C25982" w:rsidRPr="002241B1">
        <w:rPr>
          <w:rFonts w:ascii="Times New Roman" w:hAnsi="Times New Roman" w:cs="Times New Roman"/>
          <w:sz w:val="24"/>
          <w:szCs w:val="24"/>
        </w:rPr>
        <w:t>o</w:t>
      </w:r>
      <w:r w:rsidRPr="002241B1">
        <w:rPr>
          <w:rFonts w:ascii="Times New Roman" w:hAnsi="Times New Roman" w:cs="Times New Roman"/>
          <w:sz w:val="24"/>
          <w:szCs w:val="24"/>
        </w:rPr>
        <w:t xml:space="preserve">is, le vote de cette loi n’est pas l’unique exigence de l’international. </w:t>
      </w:r>
      <w:r w:rsidR="00D47E3C" w:rsidRPr="002241B1">
        <w:rPr>
          <w:rFonts w:ascii="Times New Roman" w:hAnsi="Times New Roman" w:cs="Times New Roman"/>
          <w:sz w:val="24"/>
          <w:szCs w:val="24"/>
        </w:rPr>
        <w:t xml:space="preserve"> A la dernière réunion du GAFIC tenue à Trinidad &amp; Tobago, il a été souligné le manque de progrès</w:t>
      </w:r>
      <w:r w:rsidR="008509DB" w:rsidRPr="002241B1">
        <w:rPr>
          <w:rFonts w:ascii="Times New Roman" w:hAnsi="Times New Roman" w:cs="Times New Roman"/>
          <w:sz w:val="24"/>
          <w:szCs w:val="24"/>
        </w:rPr>
        <w:t xml:space="preserve"> ou l’effort à consentir pour se conformer aux normes. </w:t>
      </w:r>
      <w:r w:rsidR="00024737" w:rsidRPr="002241B1">
        <w:rPr>
          <w:rFonts w:ascii="Times New Roman" w:hAnsi="Times New Roman" w:cs="Times New Roman"/>
          <w:sz w:val="24"/>
          <w:szCs w:val="24"/>
        </w:rPr>
        <w:t>Haïti</w:t>
      </w:r>
      <w:r w:rsidR="006D3386" w:rsidRPr="002241B1">
        <w:rPr>
          <w:rFonts w:ascii="Times New Roman" w:hAnsi="Times New Roman" w:cs="Times New Roman"/>
          <w:sz w:val="24"/>
          <w:szCs w:val="24"/>
        </w:rPr>
        <w:t xml:space="preserve"> est non conforme dans</w:t>
      </w:r>
      <w:r w:rsidR="006D3698" w:rsidRPr="002241B1">
        <w:rPr>
          <w:rFonts w:ascii="Times New Roman" w:hAnsi="Times New Roman" w:cs="Times New Roman"/>
          <w:sz w:val="24"/>
          <w:szCs w:val="24"/>
        </w:rPr>
        <w:t xml:space="preserve"> l’acheminement des statistiques, dans le dispositif législatif qui n’est pas capable de délivrer des résultats notamment des </w:t>
      </w:r>
      <w:r w:rsidR="00422410" w:rsidRPr="002241B1">
        <w:rPr>
          <w:rFonts w:ascii="Times New Roman" w:hAnsi="Times New Roman" w:cs="Times New Roman"/>
          <w:sz w:val="24"/>
          <w:szCs w:val="24"/>
        </w:rPr>
        <w:t xml:space="preserve"> condamnations pour cause de Blanchiment de capitaux, dans le nombre de déclaration</w:t>
      </w:r>
      <w:r w:rsidR="00BF461B" w:rsidRPr="002241B1">
        <w:rPr>
          <w:rFonts w:ascii="Times New Roman" w:hAnsi="Times New Roman" w:cs="Times New Roman"/>
          <w:sz w:val="24"/>
          <w:szCs w:val="24"/>
        </w:rPr>
        <w:t>s</w:t>
      </w:r>
      <w:r w:rsidR="00A54BD5" w:rsidRPr="002241B1">
        <w:rPr>
          <w:rFonts w:ascii="Times New Roman" w:hAnsi="Times New Roman" w:cs="Times New Roman"/>
          <w:sz w:val="24"/>
          <w:szCs w:val="24"/>
        </w:rPr>
        <w:t xml:space="preserve"> de </w:t>
      </w:r>
      <w:r w:rsidR="00024737" w:rsidRPr="002241B1">
        <w:rPr>
          <w:rFonts w:ascii="Times New Roman" w:hAnsi="Times New Roman" w:cs="Times New Roman"/>
          <w:sz w:val="24"/>
          <w:szCs w:val="24"/>
        </w:rPr>
        <w:t>soupçons</w:t>
      </w:r>
      <w:r w:rsidR="00A54BD5" w:rsidRPr="002241B1">
        <w:rPr>
          <w:rFonts w:ascii="Times New Roman" w:hAnsi="Times New Roman" w:cs="Times New Roman"/>
          <w:sz w:val="24"/>
          <w:szCs w:val="24"/>
        </w:rPr>
        <w:t xml:space="preserve"> </w:t>
      </w:r>
      <w:r w:rsidR="008E7CE9" w:rsidRPr="002241B1">
        <w:rPr>
          <w:rFonts w:ascii="Times New Roman" w:hAnsi="Times New Roman" w:cs="Times New Roman"/>
          <w:sz w:val="24"/>
          <w:szCs w:val="24"/>
        </w:rPr>
        <w:t>provenant du syst</w:t>
      </w:r>
      <w:r w:rsidR="008E7CE9" w:rsidRPr="002241B1">
        <w:rPr>
          <w:rFonts w:ascii="Times New Roman" w:hAnsi="Times New Roman" w:cs="Times New Roman"/>
          <w:sz w:val="24"/>
          <w:szCs w:val="24"/>
          <w:lang w:eastAsia="ko-KR"/>
        </w:rPr>
        <w:t>ème bancaire.</w:t>
      </w:r>
    </w:p>
    <w:p w:rsidR="008E7CE9" w:rsidRPr="002241B1" w:rsidRDefault="008E7CE9" w:rsidP="00772122">
      <w:pPr>
        <w:tabs>
          <w:tab w:val="left" w:pos="1176"/>
        </w:tabs>
        <w:spacing w:after="0"/>
        <w:jc w:val="both"/>
        <w:rPr>
          <w:rFonts w:ascii="Times New Roman" w:hAnsi="Times New Roman" w:cs="Times New Roman"/>
          <w:sz w:val="24"/>
          <w:szCs w:val="24"/>
          <w:lang w:eastAsia="ko-KR"/>
        </w:rPr>
      </w:pPr>
    </w:p>
    <w:p w:rsidR="000558B6" w:rsidRDefault="00BB1DDA" w:rsidP="00772122">
      <w:pPr>
        <w:tabs>
          <w:tab w:val="left" w:pos="1176"/>
        </w:tabs>
        <w:spacing w:after="0"/>
        <w:jc w:val="both"/>
        <w:rPr>
          <w:rFonts w:ascii="Times New Roman" w:hAnsi="Times New Roman" w:cs="Times New Roman"/>
          <w:sz w:val="24"/>
          <w:szCs w:val="24"/>
          <w:lang w:eastAsia="ko-KR"/>
        </w:rPr>
      </w:pPr>
      <w:r w:rsidRPr="002241B1">
        <w:rPr>
          <w:rFonts w:ascii="Times New Roman" w:hAnsi="Times New Roman" w:cs="Times New Roman"/>
          <w:sz w:val="24"/>
          <w:szCs w:val="24"/>
          <w:lang w:eastAsia="ko-KR"/>
        </w:rPr>
        <w:t xml:space="preserve">Une </w:t>
      </w:r>
      <w:r w:rsidR="00BF461B" w:rsidRPr="002241B1">
        <w:rPr>
          <w:rFonts w:ascii="Times New Roman" w:hAnsi="Times New Roman" w:cs="Times New Roman"/>
          <w:sz w:val="24"/>
          <w:szCs w:val="24"/>
          <w:lang w:eastAsia="ko-KR"/>
        </w:rPr>
        <w:t xml:space="preserve">(1) </w:t>
      </w:r>
      <w:r w:rsidRPr="002241B1">
        <w:rPr>
          <w:rFonts w:ascii="Times New Roman" w:hAnsi="Times New Roman" w:cs="Times New Roman"/>
          <w:sz w:val="24"/>
          <w:szCs w:val="24"/>
          <w:lang w:eastAsia="ko-KR"/>
        </w:rPr>
        <w:t>unité de conformité a été instituée à l’AP</w:t>
      </w:r>
      <w:r w:rsidR="00FD09D6" w:rsidRPr="002241B1">
        <w:rPr>
          <w:rFonts w:ascii="Times New Roman" w:hAnsi="Times New Roman" w:cs="Times New Roman"/>
          <w:sz w:val="24"/>
          <w:szCs w:val="24"/>
          <w:lang w:eastAsia="ko-KR"/>
        </w:rPr>
        <w:t>B</w:t>
      </w:r>
      <w:r w:rsidRPr="002241B1">
        <w:rPr>
          <w:rFonts w:ascii="Times New Roman" w:hAnsi="Times New Roman" w:cs="Times New Roman"/>
          <w:sz w:val="24"/>
          <w:szCs w:val="24"/>
          <w:lang w:eastAsia="ko-KR"/>
        </w:rPr>
        <w:t>, gage de la vigilance du secteur en matière de lutte con</w:t>
      </w:r>
      <w:r w:rsidR="00FD09D6" w:rsidRPr="002241B1">
        <w:rPr>
          <w:rFonts w:ascii="Times New Roman" w:hAnsi="Times New Roman" w:cs="Times New Roman"/>
          <w:sz w:val="24"/>
          <w:szCs w:val="24"/>
          <w:lang w:eastAsia="ko-KR"/>
        </w:rPr>
        <w:t>tre le Blanchiment des avoirs, l</w:t>
      </w:r>
      <w:r w:rsidRPr="002241B1">
        <w:rPr>
          <w:rFonts w:ascii="Times New Roman" w:hAnsi="Times New Roman" w:cs="Times New Roman"/>
          <w:sz w:val="24"/>
          <w:szCs w:val="24"/>
          <w:lang w:eastAsia="ko-KR"/>
        </w:rPr>
        <w:t>e</w:t>
      </w:r>
      <w:r w:rsidR="00FD09D6" w:rsidRPr="002241B1">
        <w:rPr>
          <w:rFonts w:ascii="Times New Roman" w:hAnsi="Times New Roman" w:cs="Times New Roman"/>
          <w:sz w:val="24"/>
          <w:szCs w:val="24"/>
          <w:lang w:eastAsia="ko-KR"/>
        </w:rPr>
        <w:t>s</w:t>
      </w:r>
      <w:r w:rsidRPr="002241B1">
        <w:rPr>
          <w:rFonts w:ascii="Times New Roman" w:hAnsi="Times New Roman" w:cs="Times New Roman"/>
          <w:sz w:val="24"/>
          <w:szCs w:val="24"/>
          <w:lang w:eastAsia="ko-KR"/>
        </w:rPr>
        <w:t xml:space="preserve"> trafics ill</w:t>
      </w:r>
      <w:r w:rsidR="00C86C67" w:rsidRPr="002241B1">
        <w:rPr>
          <w:rFonts w:ascii="Times New Roman" w:hAnsi="Times New Roman" w:cs="Times New Roman"/>
          <w:sz w:val="24"/>
          <w:szCs w:val="24"/>
          <w:lang w:eastAsia="ko-KR"/>
        </w:rPr>
        <w:t xml:space="preserve">icites, l’évasion fiscale, et </w:t>
      </w:r>
      <w:r w:rsidRPr="002241B1">
        <w:rPr>
          <w:rFonts w:ascii="Times New Roman" w:hAnsi="Times New Roman" w:cs="Times New Roman"/>
          <w:sz w:val="24"/>
          <w:szCs w:val="24"/>
          <w:lang w:eastAsia="ko-KR"/>
        </w:rPr>
        <w:t xml:space="preserve"> </w:t>
      </w:r>
      <w:r w:rsidR="003A0052" w:rsidRPr="002241B1">
        <w:rPr>
          <w:rFonts w:ascii="Times New Roman" w:hAnsi="Times New Roman" w:cs="Times New Roman"/>
          <w:sz w:val="24"/>
          <w:szCs w:val="24"/>
          <w:lang w:eastAsia="ko-KR"/>
        </w:rPr>
        <w:t>modèle de structure</w:t>
      </w:r>
      <w:r w:rsidR="005E423E" w:rsidRPr="002241B1">
        <w:rPr>
          <w:rFonts w:ascii="Times New Roman" w:hAnsi="Times New Roman" w:cs="Times New Roman"/>
          <w:sz w:val="24"/>
          <w:szCs w:val="24"/>
          <w:lang w:eastAsia="ko-KR"/>
        </w:rPr>
        <w:t>,</w:t>
      </w:r>
      <w:r w:rsidR="003A0052" w:rsidRPr="002241B1">
        <w:rPr>
          <w:rFonts w:ascii="Times New Roman" w:hAnsi="Times New Roman" w:cs="Times New Roman"/>
          <w:sz w:val="24"/>
          <w:szCs w:val="24"/>
          <w:lang w:eastAsia="ko-KR"/>
        </w:rPr>
        <w:t xml:space="preserve"> de plate</w:t>
      </w:r>
      <w:r w:rsidR="002163FA" w:rsidRPr="002241B1">
        <w:rPr>
          <w:rFonts w:ascii="Times New Roman" w:hAnsi="Times New Roman" w:cs="Times New Roman"/>
          <w:sz w:val="24"/>
          <w:szCs w:val="24"/>
          <w:lang w:eastAsia="ko-KR"/>
        </w:rPr>
        <w:t>-</w:t>
      </w:r>
      <w:r w:rsidR="003A0052" w:rsidRPr="002241B1">
        <w:rPr>
          <w:rFonts w:ascii="Times New Roman" w:hAnsi="Times New Roman" w:cs="Times New Roman"/>
          <w:sz w:val="24"/>
          <w:szCs w:val="24"/>
          <w:lang w:eastAsia="ko-KR"/>
        </w:rPr>
        <w:t xml:space="preserve">forme servant à échanger des informations </w:t>
      </w:r>
      <w:r w:rsidR="008618F8" w:rsidRPr="002241B1">
        <w:rPr>
          <w:rFonts w:ascii="Times New Roman" w:hAnsi="Times New Roman" w:cs="Times New Roman"/>
          <w:sz w:val="24"/>
          <w:szCs w:val="24"/>
          <w:lang w:eastAsia="ko-KR"/>
        </w:rPr>
        <w:t xml:space="preserve">et à uniformiser l’approche </w:t>
      </w:r>
      <w:r w:rsidR="0084531D" w:rsidRPr="002241B1">
        <w:rPr>
          <w:rFonts w:ascii="Times New Roman" w:hAnsi="Times New Roman" w:cs="Times New Roman"/>
          <w:sz w:val="24"/>
          <w:szCs w:val="24"/>
          <w:lang w:eastAsia="ko-KR"/>
        </w:rPr>
        <w:t>réglementaire</w:t>
      </w:r>
      <w:r w:rsidR="008618F8" w:rsidRPr="002241B1">
        <w:rPr>
          <w:rFonts w:ascii="Times New Roman" w:hAnsi="Times New Roman" w:cs="Times New Roman"/>
          <w:sz w:val="24"/>
          <w:szCs w:val="24"/>
          <w:lang w:eastAsia="ko-KR"/>
        </w:rPr>
        <w:t>.</w:t>
      </w:r>
    </w:p>
    <w:p w:rsidR="00971240" w:rsidRDefault="00971240" w:rsidP="00772122">
      <w:pPr>
        <w:tabs>
          <w:tab w:val="left" w:pos="1176"/>
        </w:tabs>
        <w:spacing w:after="0"/>
        <w:jc w:val="both"/>
        <w:rPr>
          <w:rFonts w:ascii="Times New Roman" w:hAnsi="Times New Roman" w:cs="Times New Roman"/>
          <w:sz w:val="24"/>
          <w:szCs w:val="24"/>
          <w:lang w:eastAsia="ko-KR"/>
        </w:rPr>
      </w:pPr>
    </w:p>
    <w:p w:rsidR="00971240" w:rsidRDefault="00971240" w:rsidP="00772122">
      <w:pPr>
        <w:tabs>
          <w:tab w:val="left" w:pos="1176"/>
        </w:tabs>
        <w:spacing w:after="0"/>
        <w:jc w:val="both"/>
        <w:rPr>
          <w:rFonts w:ascii="Times New Roman" w:hAnsi="Times New Roman" w:cs="Times New Roman"/>
          <w:sz w:val="24"/>
          <w:szCs w:val="24"/>
          <w:lang w:eastAsia="ko-KR"/>
        </w:rPr>
      </w:pPr>
    </w:p>
    <w:p w:rsidR="00971240" w:rsidRDefault="00971240" w:rsidP="00772122">
      <w:pPr>
        <w:tabs>
          <w:tab w:val="left" w:pos="1176"/>
        </w:tabs>
        <w:spacing w:after="0"/>
        <w:jc w:val="both"/>
        <w:rPr>
          <w:rFonts w:ascii="Times New Roman" w:hAnsi="Times New Roman" w:cs="Times New Roman"/>
          <w:sz w:val="24"/>
          <w:szCs w:val="24"/>
          <w:lang w:eastAsia="ko-KR"/>
        </w:rPr>
      </w:pPr>
    </w:p>
    <w:p w:rsidR="002579BF" w:rsidRDefault="002579BF" w:rsidP="00772122">
      <w:pPr>
        <w:tabs>
          <w:tab w:val="left" w:pos="1176"/>
        </w:tabs>
        <w:spacing w:after="0"/>
        <w:jc w:val="both"/>
        <w:rPr>
          <w:rFonts w:ascii="Times New Roman" w:hAnsi="Times New Roman" w:cs="Times New Roman"/>
          <w:sz w:val="24"/>
          <w:szCs w:val="24"/>
          <w:lang w:eastAsia="ko-KR"/>
        </w:rPr>
      </w:pPr>
    </w:p>
    <w:p w:rsidR="002579BF" w:rsidRPr="00646B8E" w:rsidRDefault="002579BF" w:rsidP="002579BF">
      <w:pPr>
        <w:pStyle w:val="ListParagraph"/>
        <w:numPr>
          <w:ilvl w:val="0"/>
          <w:numId w:val="17"/>
        </w:numPr>
        <w:tabs>
          <w:tab w:val="left" w:pos="1890"/>
        </w:tabs>
        <w:spacing w:after="0"/>
        <w:jc w:val="both"/>
        <w:rPr>
          <w:rFonts w:cs="Times New Roman"/>
          <w:b/>
          <w:sz w:val="28"/>
          <w:szCs w:val="28"/>
          <w:u w:val="single"/>
          <w:lang w:eastAsia="ko-KR"/>
        </w:rPr>
      </w:pPr>
      <w:r w:rsidRPr="001A5F38">
        <w:rPr>
          <w:rFonts w:cs="Times New Roman"/>
          <w:b/>
          <w:sz w:val="28"/>
          <w:szCs w:val="28"/>
          <w:u w:val="single"/>
          <w:lang w:eastAsia="ko-KR"/>
        </w:rPr>
        <w:t>Coopération avec les organisations internationales</w:t>
      </w:r>
    </w:p>
    <w:p w:rsidR="002579BF" w:rsidRDefault="002579BF" w:rsidP="002579BF">
      <w:pPr>
        <w:tabs>
          <w:tab w:val="left" w:pos="1440"/>
          <w:tab w:val="left" w:pos="1530"/>
        </w:tabs>
        <w:jc w:val="both"/>
        <w:rPr>
          <w:rFonts w:ascii="Times New Roman" w:hAnsi="Times New Roman" w:cs="Times New Roman"/>
          <w:sz w:val="24"/>
          <w:szCs w:val="24"/>
          <w:lang w:eastAsia="ko-KR"/>
        </w:rPr>
      </w:pPr>
    </w:p>
    <w:p w:rsidR="002579BF" w:rsidRPr="00DC15F1" w:rsidRDefault="002579BF" w:rsidP="002579BF">
      <w:pPr>
        <w:tabs>
          <w:tab w:val="left" w:pos="1440"/>
          <w:tab w:val="left" w:pos="1530"/>
        </w:tabs>
        <w:jc w:val="both"/>
        <w:rPr>
          <w:rFonts w:ascii="Times New Roman" w:hAnsi="Times New Roman" w:cs="Times New Roman"/>
          <w:sz w:val="24"/>
          <w:szCs w:val="24"/>
          <w:lang w:eastAsia="ko-KR"/>
        </w:rPr>
      </w:pPr>
      <w:r w:rsidRPr="00DC15F1">
        <w:rPr>
          <w:rFonts w:ascii="Times New Roman" w:hAnsi="Times New Roman" w:cs="Times New Roman"/>
          <w:sz w:val="24"/>
          <w:szCs w:val="24"/>
          <w:lang w:eastAsia="ko-KR"/>
        </w:rPr>
        <w:t>En janvier 2013, l’APB a reçu en audience une mission de la Banque Européenne d’Investissement (BEI) et de la Société Financière Internationale (SFI) dans le but de jeter les bases d’une coopération et de rechercher un partenariat pour faciliter l’accès au crédit.</w:t>
      </w:r>
    </w:p>
    <w:p w:rsidR="002579BF" w:rsidRPr="00DC15F1" w:rsidRDefault="002579BF" w:rsidP="002579BF">
      <w:pPr>
        <w:tabs>
          <w:tab w:val="left" w:pos="1440"/>
          <w:tab w:val="left" w:pos="1530"/>
        </w:tabs>
        <w:jc w:val="both"/>
        <w:rPr>
          <w:rFonts w:ascii="Times New Roman" w:hAnsi="Times New Roman" w:cs="Times New Roman"/>
          <w:sz w:val="24"/>
          <w:szCs w:val="24"/>
          <w:lang w:eastAsia="ko-KR"/>
        </w:rPr>
      </w:pPr>
      <w:r w:rsidRPr="00DC15F1">
        <w:rPr>
          <w:rFonts w:ascii="Times New Roman" w:hAnsi="Times New Roman" w:cs="Times New Roman"/>
          <w:sz w:val="24"/>
          <w:szCs w:val="24"/>
          <w:lang w:eastAsia="ko-KR"/>
        </w:rPr>
        <w:t>Les membres de cette mission ont recherché, avec les représentants des Banques, les opportunités, les projets et secteurs pouvant faire l’objet de cette coopération. Les infrastructures hôtelières, portuaires, le logement, l’énergie ont été identifiés comme secteurs  où les besoins en financement se font sentir. Les demandes de crédit existent pour les secteurs mentionnés et l’envergure des projets sied bien avec les objectifs recherchés par la mission en termes de partage de risque et de financement.</w:t>
      </w:r>
    </w:p>
    <w:p w:rsidR="002579BF" w:rsidRPr="00DC15F1" w:rsidRDefault="002579BF" w:rsidP="002579BF">
      <w:pPr>
        <w:tabs>
          <w:tab w:val="left" w:pos="1440"/>
          <w:tab w:val="left" w:pos="1530"/>
        </w:tabs>
        <w:jc w:val="both"/>
        <w:rPr>
          <w:rFonts w:ascii="Times New Roman" w:hAnsi="Times New Roman" w:cs="Times New Roman"/>
          <w:sz w:val="24"/>
          <w:szCs w:val="24"/>
          <w:lang w:eastAsia="ko-KR"/>
        </w:rPr>
      </w:pPr>
      <w:r w:rsidRPr="00DC15F1">
        <w:rPr>
          <w:rFonts w:ascii="Times New Roman" w:hAnsi="Times New Roman" w:cs="Times New Roman"/>
          <w:sz w:val="24"/>
          <w:szCs w:val="24"/>
          <w:lang w:eastAsia="ko-KR"/>
        </w:rPr>
        <w:t>Rappelons que cette mission est venue en Haïti dans le cadre du lancement, par l’Union Européenne de deux facilités : Caribbean Investment Facility (CIF) et Investment Facility for the Pacific (IFP). Deux (2) régions répondant aux besoins d’investissement dans des infrastructures clés pour les rendre compétitives sur le marché global, dynamiser leur potentiel de croissance et réduire la pauvreté.</w:t>
      </w:r>
    </w:p>
    <w:p w:rsidR="002579BF" w:rsidRPr="00DC15F1" w:rsidRDefault="002579BF" w:rsidP="002579BF">
      <w:pPr>
        <w:tabs>
          <w:tab w:val="left" w:pos="1440"/>
          <w:tab w:val="left" w:pos="1530"/>
        </w:tabs>
        <w:jc w:val="both"/>
        <w:rPr>
          <w:rFonts w:ascii="Times New Roman" w:hAnsi="Times New Roman" w:cs="Times New Roman"/>
          <w:sz w:val="24"/>
          <w:szCs w:val="24"/>
          <w:lang w:eastAsia="ko-KR"/>
        </w:rPr>
      </w:pPr>
      <w:r w:rsidRPr="00DC15F1">
        <w:rPr>
          <w:rFonts w:ascii="Times New Roman" w:hAnsi="Times New Roman" w:cs="Times New Roman"/>
          <w:sz w:val="24"/>
          <w:szCs w:val="24"/>
          <w:lang w:eastAsia="ko-KR"/>
        </w:rPr>
        <w:t>L’APB a répondu au cours de cet exercice à toutes les invitations du Fonds Monétaire qui réalise trimestriellement une revue du programme financier en cours, la facilité élargie de crédit. Le programme suivant l’expression utilisée par le FMI ‘’ Remains on Track’’.  Les indicateurs de performance et les cibles du programme ont été respectés. Une lettre d’intention du gouvernement a sollicité le déboursement de la sixième tranche de crédit et la prolongation du programme au 30 août 2014.</w:t>
      </w:r>
    </w:p>
    <w:p w:rsidR="002579BF" w:rsidRDefault="002579BF" w:rsidP="00772122">
      <w:pPr>
        <w:tabs>
          <w:tab w:val="left" w:pos="1176"/>
        </w:tabs>
        <w:spacing w:after="0"/>
        <w:jc w:val="both"/>
        <w:rPr>
          <w:rFonts w:ascii="Times New Roman" w:hAnsi="Times New Roman" w:cs="Times New Roman"/>
          <w:sz w:val="24"/>
          <w:szCs w:val="24"/>
          <w:lang w:eastAsia="ko-KR"/>
        </w:rPr>
      </w:pPr>
    </w:p>
    <w:p w:rsidR="003C1050" w:rsidRPr="001A5F38" w:rsidRDefault="003C1050" w:rsidP="003C1050">
      <w:pPr>
        <w:tabs>
          <w:tab w:val="left" w:pos="1440"/>
        </w:tabs>
        <w:spacing w:after="0"/>
        <w:jc w:val="both"/>
        <w:rPr>
          <w:rFonts w:cs="Times New Roman"/>
          <w:b/>
          <w:sz w:val="28"/>
          <w:szCs w:val="28"/>
          <w:u w:val="single"/>
          <w:lang w:eastAsia="ko-KR"/>
        </w:rPr>
      </w:pPr>
      <w:r w:rsidRPr="001A5F38">
        <w:rPr>
          <w:rFonts w:cs="Times New Roman"/>
          <w:b/>
          <w:sz w:val="28"/>
          <w:szCs w:val="28"/>
          <w:lang w:eastAsia="ko-KR"/>
        </w:rPr>
        <w:t xml:space="preserve">V)  </w:t>
      </w:r>
      <w:r w:rsidRPr="001A5F38">
        <w:rPr>
          <w:rFonts w:cs="Times New Roman"/>
          <w:b/>
          <w:sz w:val="28"/>
          <w:szCs w:val="28"/>
          <w:u w:val="single"/>
          <w:lang w:eastAsia="ko-KR"/>
        </w:rPr>
        <w:t>Coopération avec les Institutions Etatiques</w:t>
      </w:r>
    </w:p>
    <w:p w:rsidR="003C1050" w:rsidRPr="001A5F38" w:rsidRDefault="003C1050" w:rsidP="003C1050">
      <w:pPr>
        <w:pStyle w:val="ListParagraph"/>
        <w:tabs>
          <w:tab w:val="left" w:pos="1440"/>
        </w:tabs>
        <w:spacing w:after="0"/>
        <w:ind w:left="1800"/>
        <w:jc w:val="both"/>
        <w:rPr>
          <w:rFonts w:cs="Times New Roman"/>
          <w:sz w:val="28"/>
          <w:szCs w:val="28"/>
          <w:lang w:eastAsia="ko-KR"/>
        </w:rPr>
      </w:pPr>
    </w:p>
    <w:p w:rsidR="003C1050" w:rsidRPr="00205EBA" w:rsidRDefault="003C1050" w:rsidP="003C1050">
      <w:pPr>
        <w:spacing w:after="0"/>
        <w:jc w:val="both"/>
        <w:rPr>
          <w:rFonts w:ascii="Times New Roman" w:hAnsi="Times New Roman" w:cs="Times New Roman"/>
          <w:sz w:val="24"/>
          <w:szCs w:val="24"/>
          <w:lang w:eastAsia="ko-KR"/>
        </w:rPr>
      </w:pPr>
      <w:r w:rsidRPr="00205EBA">
        <w:rPr>
          <w:rFonts w:ascii="Times New Roman" w:hAnsi="Times New Roman" w:cs="Times New Roman"/>
          <w:sz w:val="24"/>
          <w:szCs w:val="24"/>
          <w:lang w:eastAsia="ko-KR"/>
        </w:rPr>
        <w:t>L’APB a apporté sa contribution à plusieurs travaux initiés par les Institutions d’Etat, notamment les travaux de la BRH sur les normes de sécurité des chèques standardisés. Les entraves au développement du crédit ont fait l’objet de consultations entre les représentants de la BRH et ceux de l’APB.</w:t>
      </w:r>
    </w:p>
    <w:p w:rsidR="003C1050" w:rsidRPr="00205EBA" w:rsidRDefault="003C1050" w:rsidP="003C1050">
      <w:pPr>
        <w:spacing w:after="0"/>
        <w:ind w:firstLine="1440"/>
        <w:jc w:val="both"/>
        <w:rPr>
          <w:rFonts w:ascii="Times New Roman" w:hAnsi="Times New Roman" w:cs="Times New Roman"/>
          <w:sz w:val="24"/>
          <w:szCs w:val="24"/>
          <w:lang w:eastAsia="ko-KR"/>
        </w:rPr>
      </w:pPr>
    </w:p>
    <w:p w:rsidR="003C1050" w:rsidRPr="00205EBA" w:rsidRDefault="003C1050" w:rsidP="003C1050">
      <w:pPr>
        <w:spacing w:after="0"/>
        <w:jc w:val="both"/>
        <w:rPr>
          <w:rFonts w:ascii="Times New Roman" w:hAnsi="Times New Roman" w:cs="Times New Roman"/>
          <w:sz w:val="24"/>
          <w:szCs w:val="24"/>
          <w:lang w:eastAsia="ko-KR"/>
        </w:rPr>
      </w:pPr>
      <w:r w:rsidRPr="00205EBA">
        <w:rPr>
          <w:rFonts w:ascii="Times New Roman" w:hAnsi="Times New Roman" w:cs="Times New Roman"/>
          <w:sz w:val="24"/>
          <w:szCs w:val="24"/>
          <w:lang w:eastAsia="ko-KR"/>
        </w:rPr>
        <w:t>L’APB a intégré récemment la table sectorielle sur le Financement de l’Immobilier, une initiative de l’Unité de Construction de Logement et Bâtiments Publics(UCLBP).</w:t>
      </w:r>
    </w:p>
    <w:p w:rsidR="003C1050" w:rsidRPr="00205EBA" w:rsidRDefault="003C1050" w:rsidP="003C1050">
      <w:pPr>
        <w:spacing w:after="0"/>
        <w:ind w:firstLine="1440"/>
        <w:jc w:val="both"/>
        <w:rPr>
          <w:rFonts w:ascii="Times New Roman" w:hAnsi="Times New Roman" w:cs="Times New Roman"/>
          <w:sz w:val="24"/>
          <w:szCs w:val="24"/>
          <w:lang w:eastAsia="ko-KR"/>
        </w:rPr>
      </w:pPr>
    </w:p>
    <w:p w:rsidR="003C1050" w:rsidRDefault="003C1050" w:rsidP="003C1050">
      <w:pPr>
        <w:spacing w:after="0"/>
        <w:jc w:val="both"/>
        <w:rPr>
          <w:rFonts w:ascii="Times New Roman" w:hAnsi="Times New Roman" w:cs="Times New Roman"/>
          <w:sz w:val="24"/>
          <w:szCs w:val="24"/>
          <w:lang w:eastAsia="ko-KR"/>
        </w:rPr>
      </w:pPr>
      <w:r w:rsidRPr="00205EBA">
        <w:rPr>
          <w:rFonts w:ascii="Times New Roman" w:hAnsi="Times New Roman" w:cs="Times New Roman"/>
          <w:sz w:val="24"/>
          <w:szCs w:val="24"/>
          <w:lang w:eastAsia="ko-KR"/>
        </w:rPr>
        <w:t xml:space="preserve">Le Ministère du Commerce et de l’Industrie a fait appel aux membres de l’APB pour analyser et commenter l’étude diagnostique sur l’intégration du commerce.  Les représentants de l’APB ont participé à la présentation de cette étude et a suggéré d’inclure le secteur bancaire dans l’étude ainsi que le crédit </w:t>
      </w:r>
      <w:r w:rsidRPr="00205EBA">
        <w:rPr>
          <w:rFonts w:ascii="Times New Roman" w:hAnsi="Times New Roman" w:cs="Times New Roman"/>
          <w:sz w:val="24"/>
          <w:szCs w:val="24"/>
          <w:lang w:eastAsia="ko-KR"/>
        </w:rPr>
        <w:lastRenderedPageBreak/>
        <w:t>qui est à la base de tout développement économique et  des affaires en général. Un texte a été transmis au secrétariat du projet EDIC.</w:t>
      </w:r>
    </w:p>
    <w:p w:rsidR="00DC1625" w:rsidRDefault="00DC1625" w:rsidP="003C1050">
      <w:pPr>
        <w:spacing w:after="0"/>
        <w:jc w:val="both"/>
        <w:rPr>
          <w:rFonts w:ascii="Times New Roman" w:hAnsi="Times New Roman" w:cs="Times New Roman"/>
          <w:sz w:val="24"/>
          <w:szCs w:val="24"/>
          <w:lang w:eastAsia="ko-KR"/>
        </w:rPr>
      </w:pPr>
    </w:p>
    <w:p w:rsidR="00DC1625" w:rsidRPr="00205EBA" w:rsidRDefault="00DC1625" w:rsidP="003C1050">
      <w:pPr>
        <w:spacing w:after="0"/>
        <w:jc w:val="both"/>
        <w:rPr>
          <w:rFonts w:ascii="Times New Roman" w:hAnsi="Times New Roman" w:cs="Times New Roman"/>
          <w:sz w:val="24"/>
          <w:szCs w:val="24"/>
          <w:lang w:eastAsia="ko-KR"/>
        </w:rPr>
      </w:pPr>
    </w:p>
    <w:p w:rsidR="002579BF" w:rsidRDefault="002579BF" w:rsidP="00772122">
      <w:pPr>
        <w:tabs>
          <w:tab w:val="left" w:pos="1176"/>
        </w:tabs>
        <w:spacing w:after="0"/>
        <w:jc w:val="both"/>
        <w:rPr>
          <w:rFonts w:ascii="Times New Roman" w:hAnsi="Times New Roman" w:cs="Times New Roman"/>
          <w:sz w:val="24"/>
          <w:szCs w:val="24"/>
          <w:lang w:eastAsia="ko-KR"/>
        </w:rPr>
      </w:pPr>
    </w:p>
    <w:p w:rsidR="00C40A6E" w:rsidRPr="001A5F38" w:rsidRDefault="007A26C2" w:rsidP="005633E5">
      <w:pPr>
        <w:tabs>
          <w:tab w:val="left" w:pos="1176"/>
        </w:tabs>
        <w:spacing w:after="0"/>
        <w:rPr>
          <w:rFonts w:cs="Times New Roman"/>
          <w:b/>
          <w:sz w:val="28"/>
          <w:szCs w:val="28"/>
          <w:u w:val="single"/>
          <w:lang w:eastAsia="ko-KR"/>
        </w:rPr>
      </w:pPr>
      <w:r w:rsidRPr="001A5F38">
        <w:rPr>
          <w:rFonts w:cs="Times New Roman"/>
          <w:b/>
          <w:sz w:val="28"/>
          <w:szCs w:val="28"/>
          <w:lang w:eastAsia="ko-KR"/>
        </w:rPr>
        <w:t>V</w:t>
      </w:r>
      <w:r w:rsidR="00CA6ED8">
        <w:rPr>
          <w:rFonts w:cs="Times New Roman"/>
          <w:b/>
          <w:sz w:val="28"/>
          <w:szCs w:val="28"/>
          <w:lang w:eastAsia="ko-KR"/>
        </w:rPr>
        <w:t>I</w:t>
      </w:r>
      <w:r w:rsidRPr="001A5F38">
        <w:rPr>
          <w:rFonts w:cs="Times New Roman"/>
          <w:b/>
          <w:sz w:val="28"/>
          <w:szCs w:val="28"/>
          <w:lang w:eastAsia="ko-KR"/>
        </w:rPr>
        <w:t xml:space="preserve">)  </w:t>
      </w:r>
      <w:r w:rsidRPr="001A5F38">
        <w:rPr>
          <w:rFonts w:cs="Times New Roman"/>
          <w:b/>
          <w:sz w:val="28"/>
          <w:szCs w:val="28"/>
          <w:u w:val="single"/>
          <w:lang w:eastAsia="ko-KR"/>
        </w:rPr>
        <w:t>Coopération</w:t>
      </w:r>
      <w:r w:rsidR="001131EA" w:rsidRPr="001A5F38">
        <w:rPr>
          <w:rFonts w:cs="Times New Roman"/>
          <w:b/>
          <w:sz w:val="28"/>
          <w:szCs w:val="28"/>
          <w:u w:val="single"/>
          <w:lang w:eastAsia="ko-KR"/>
        </w:rPr>
        <w:t xml:space="preserve"> avec les associations du secteur privé</w:t>
      </w:r>
    </w:p>
    <w:p w:rsidR="00DC1625" w:rsidRDefault="00DC1625" w:rsidP="00772122">
      <w:pPr>
        <w:spacing w:after="0"/>
        <w:jc w:val="both"/>
        <w:rPr>
          <w:rFonts w:ascii="Times New Roman" w:hAnsi="Times New Roman" w:cs="Times New Roman"/>
          <w:sz w:val="24"/>
          <w:szCs w:val="24"/>
          <w:lang w:eastAsia="ko-KR"/>
        </w:rPr>
      </w:pPr>
    </w:p>
    <w:p w:rsidR="003E1B88" w:rsidRPr="006065B6" w:rsidRDefault="003C4EE8" w:rsidP="00772122">
      <w:pPr>
        <w:spacing w:after="0"/>
        <w:jc w:val="both"/>
        <w:rPr>
          <w:rFonts w:ascii="Times New Roman" w:hAnsi="Times New Roman" w:cs="Times New Roman"/>
          <w:sz w:val="24"/>
          <w:szCs w:val="24"/>
          <w:lang w:eastAsia="ko-KR"/>
        </w:rPr>
      </w:pPr>
      <w:r w:rsidRPr="006065B6">
        <w:rPr>
          <w:rFonts w:ascii="Times New Roman" w:hAnsi="Times New Roman" w:cs="Times New Roman"/>
          <w:sz w:val="24"/>
          <w:szCs w:val="24"/>
          <w:lang w:eastAsia="ko-KR"/>
        </w:rPr>
        <w:t>L’APB a participé aux réflexions du secteur privé</w:t>
      </w:r>
      <w:r w:rsidR="00F77DEC" w:rsidRPr="006065B6">
        <w:rPr>
          <w:rFonts w:ascii="Times New Roman" w:hAnsi="Times New Roman" w:cs="Times New Roman"/>
          <w:sz w:val="24"/>
          <w:szCs w:val="24"/>
          <w:lang w:eastAsia="ko-KR"/>
        </w:rPr>
        <w:t xml:space="preserve"> sur la révision du Code du Travail</w:t>
      </w:r>
      <w:r w:rsidR="0028627A" w:rsidRPr="006065B6">
        <w:rPr>
          <w:rFonts w:ascii="Times New Roman" w:hAnsi="Times New Roman" w:cs="Times New Roman"/>
          <w:sz w:val="24"/>
          <w:szCs w:val="24"/>
          <w:lang w:eastAsia="ko-KR"/>
        </w:rPr>
        <w:t>, un</w:t>
      </w:r>
      <w:r w:rsidR="000A506D" w:rsidRPr="006065B6">
        <w:rPr>
          <w:rFonts w:ascii="Times New Roman" w:hAnsi="Times New Roman" w:cs="Times New Roman"/>
          <w:sz w:val="24"/>
          <w:szCs w:val="24"/>
          <w:lang w:eastAsia="ko-KR"/>
        </w:rPr>
        <w:t xml:space="preserve"> </w:t>
      </w:r>
      <w:r w:rsidR="00F77DEC" w:rsidRPr="006065B6">
        <w:rPr>
          <w:rFonts w:ascii="Times New Roman" w:hAnsi="Times New Roman" w:cs="Times New Roman"/>
          <w:sz w:val="24"/>
          <w:szCs w:val="24"/>
          <w:lang w:eastAsia="ko-KR"/>
        </w:rPr>
        <w:t xml:space="preserve">projet </w:t>
      </w:r>
      <w:r w:rsidR="00AE7E51" w:rsidRPr="006065B6">
        <w:rPr>
          <w:rFonts w:ascii="Times New Roman" w:hAnsi="Times New Roman" w:cs="Times New Roman"/>
          <w:sz w:val="24"/>
          <w:szCs w:val="24"/>
          <w:lang w:eastAsia="ko-KR"/>
        </w:rPr>
        <w:t>conçu</w:t>
      </w:r>
      <w:r w:rsidR="00F77DEC" w:rsidRPr="006065B6">
        <w:rPr>
          <w:rFonts w:ascii="Times New Roman" w:hAnsi="Times New Roman" w:cs="Times New Roman"/>
          <w:sz w:val="24"/>
          <w:szCs w:val="24"/>
          <w:lang w:eastAsia="ko-KR"/>
        </w:rPr>
        <w:t xml:space="preserve"> avec le</w:t>
      </w:r>
      <w:r w:rsidR="008C4180" w:rsidRPr="006065B6">
        <w:rPr>
          <w:rFonts w:ascii="Times New Roman" w:hAnsi="Times New Roman" w:cs="Times New Roman"/>
          <w:sz w:val="24"/>
          <w:szCs w:val="24"/>
          <w:lang w:eastAsia="ko-KR"/>
        </w:rPr>
        <w:t>s</w:t>
      </w:r>
      <w:r w:rsidR="00F77DEC" w:rsidRPr="006065B6">
        <w:rPr>
          <w:rFonts w:ascii="Times New Roman" w:hAnsi="Times New Roman" w:cs="Times New Roman"/>
          <w:sz w:val="24"/>
          <w:szCs w:val="24"/>
          <w:lang w:eastAsia="ko-KR"/>
        </w:rPr>
        <w:t xml:space="preserve"> support</w:t>
      </w:r>
      <w:r w:rsidR="008C4180" w:rsidRPr="006065B6">
        <w:rPr>
          <w:rFonts w:ascii="Times New Roman" w:hAnsi="Times New Roman" w:cs="Times New Roman"/>
          <w:sz w:val="24"/>
          <w:szCs w:val="24"/>
          <w:lang w:eastAsia="ko-KR"/>
        </w:rPr>
        <w:t>s</w:t>
      </w:r>
      <w:r w:rsidR="00F77DEC" w:rsidRPr="006065B6">
        <w:rPr>
          <w:rFonts w:ascii="Times New Roman" w:hAnsi="Times New Roman" w:cs="Times New Roman"/>
          <w:sz w:val="24"/>
          <w:szCs w:val="24"/>
          <w:lang w:eastAsia="ko-KR"/>
        </w:rPr>
        <w:t xml:space="preserve"> du gouvernement</w:t>
      </w:r>
      <w:r w:rsidR="00AE7E51" w:rsidRPr="006065B6">
        <w:rPr>
          <w:rFonts w:ascii="Times New Roman" w:hAnsi="Times New Roman" w:cs="Times New Roman"/>
          <w:sz w:val="24"/>
          <w:szCs w:val="24"/>
          <w:lang w:eastAsia="ko-KR"/>
        </w:rPr>
        <w:t xml:space="preserve"> haïtien et du Bureau International du Travail</w:t>
      </w:r>
      <w:r w:rsidR="008976D2" w:rsidRPr="006065B6">
        <w:rPr>
          <w:rFonts w:ascii="Times New Roman" w:hAnsi="Times New Roman" w:cs="Times New Roman"/>
          <w:sz w:val="24"/>
          <w:szCs w:val="24"/>
          <w:lang w:eastAsia="ko-KR"/>
        </w:rPr>
        <w:t>. Ces réflexions ont porté sur :</w:t>
      </w:r>
    </w:p>
    <w:p w:rsidR="00102C87" w:rsidRPr="006065B6" w:rsidRDefault="008976D2" w:rsidP="009943E9">
      <w:pPr>
        <w:spacing w:after="0"/>
        <w:ind w:left="720"/>
        <w:jc w:val="both"/>
        <w:rPr>
          <w:rFonts w:ascii="Times New Roman" w:hAnsi="Times New Roman" w:cs="Times New Roman"/>
          <w:sz w:val="24"/>
          <w:szCs w:val="24"/>
          <w:lang w:eastAsia="ko-KR"/>
        </w:rPr>
      </w:pPr>
      <w:r w:rsidRPr="006065B6">
        <w:rPr>
          <w:rFonts w:ascii="Times New Roman" w:hAnsi="Times New Roman" w:cs="Times New Roman"/>
          <w:sz w:val="24"/>
          <w:szCs w:val="24"/>
          <w:lang w:eastAsia="ko-KR"/>
        </w:rPr>
        <w:t>.</w:t>
      </w:r>
      <w:r w:rsidR="003E1B88" w:rsidRPr="006065B6">
        <w:rPr>
          <w:rFonts w:ascii="Times New Roman" w:hAnsi="Times New Roman" w:cs="Times New Roman"/>
          <w:sz w:val="24"/>
          <w:szCs w:val="24"/>
          <w:lang w:eastAsia="ko-KR"/>
        </w:rPr>
        <w:t xml:space="preserve">  L</w:t>
      </w:r>
      <w:r w:rsidRPr="006065B6">
        <w:rPr>
          <w:rFonts w:ascii="Times New Roman" w:hAnsi="Times New Roman" w:cs="Times New Roman"/>
          <w:sz w:val="24"/>
          <w:szCs w:val="24"/>
          <w:lang w:eastAsia="ko-KR"/>
        </w:rPr>
        <w:t xml:space="preserve">a nécessité de modifier la durée du travail en introduisant des horaires flexibles </w:t>
      </w:r>
      <w:r w:rsidR="001519EF" w:rsidRPr="006065B6">
        <w:rPr>
          <w:rFonts w:ascii="Times New Roman" w:hAnsi="Times New Roman" w:cs="Times New Roman"/>
          <w:sz w:val="24"/>
          <w:szCs w:val="24"/>
          <w:lang w:eastAsia="ko-KR"/>
        </w:rPr>
        <w:t>afin</w:t>
      </w:r>
      <w:r w:rsidR="009943E9" w:rsidRPr="006065B6">
        <w:rPr>
          <w:rFonts w:ascii="Times New Roman" w:hAnsi="Times New Roman" w:cs="Times New Roman"/>
          <w:sz w:val="24"/>
          <w:szCs w:val="24"/>
          <w:lang w:eastAsia="ko-KR"/>
        </w:rPr>
        <w:t xml:space="preserve"> </w:t>
      </w:r>
      <w:r w:rsidR="001519EF" w:rsidRPr="006065B6">
        <w:rPr>
          <w:rFonts w:ascii="Times New Roman" w:hAnsi="Times New Roman" w:cs="Times New Roman"/>
          <w:sz w:val="24"/>
          <w:szCs w:val="24"/>
          <w:lang w:eastAsia="ko-KR"/>
        </w:rPr>
        <w:t>d’</w:t>
      </w:r>
      <w:r w:rsidR="00944C49" w:rsidRPr="006065B6">
        <w:rPr>
          <w:rFonts w:ascii="Times New Roman" w:hAnsi="Times New Roman" w:cs="Times New Roman"/>
          <w:sz w:val="24"/>
          <w:szCs w:val="24"/>
          <w:lang w:eastAsia="ko-KR"/>
        </w:rPr>
        <w:t xml:space="preserve">accroître la productivité </w:t>
      </w:r>
      <w:r w:rsidRPr="006065B6">
        <w:rPr>
          <w:rFonts w:ascii="Times New Roman" w:hAnsi="Times New Roman" w:cs="Times New Roman"/>
          <w:sz w:val="24"/>
          <w:szCs w:val="24"/>
          <w:lang w:eastAsia="ko-KR"/>
        </w:rPr>
        <w:t>e</w:t>
      </w:r>
      <w:r w:rsidR="00944C49" w:rsidRPr="006065B6">
        <w:rPr>
          <w:rFonts w:ascii="Times New Roman" w:hAnsi="Times New Roman" w:cs="Times New Roman"/>
          <w:sz w:val="24"/>
          <w:szCs w:val="24"/>
          <w:lang w:eastAsia="ko-KR"/>
        </w:rPr>
        <w:t>t</w:t>
      </w:r>
      <w:r w:rsidRPr="006065B6">
        <w:rPr>
          <w:rFonts w:ascii="Times New Roman" w:hAnsi="Times New Roman" w:cs="Times New Roman"/>
          <w:sz w:val="24"/>
          <w:szCs w:val="24"/>
          <w:lang w:eastAsia="ko-KR"/>
        </w:rPr>
        <w:t xml:space="preserve"> l’</w:t>
      </w:r>
      <w:r w:rsidR="0092076F" w:rsidRPr="006065B6">
        <w:rPr>
          <w:rFonts w:ascii="Times New Roman" w:hAnsi="Times New Roman" w:cs="Times New Roman"/>
          <w:sz w:val="24"/>
          <w:szCs w:val="24"/>
          <w:lang w:eastAsia="ko-KR"/>
        </w:rPr>
        <w:t>emploi</w:t>
      </w:r>
    </w:p>
    <w:p w:rsidR="003E1B88" w:rsidRPr="006065B6" w:rsidRDefault="003E1B88" w:rsidP="00772122">
      <w:pPr>
        <w:spacing w:after="0"/>
        <w:ind w:left="720"/>
        <w:jc w:val="both"/>
        <w:rPr>
          <w:rFonts w:ascii="Times New Roman" w:hAnsi="Times New Roman" w:cs="Times New Roman"/>
          <w:sz w:val="24"/>
          <w:szCs w:val="24"/>
          <w:lang w:eastAsia="ko-KR"/>
        </w:rPr>
      </w:pPr>
      <w:r w:rsidRPr="006065B6">
        <w:rPr>
          <w:rFonts w:ascii="Times New Roman" w:hAnsi="Times New Roman" w:cs="Times New Roman"/>
          <w:sz w:val="24"/>
          <w:szCs w:val="24"/>
          <w:lang w:eastAsia="ko-KR"/>
        </w:rPr>
        <w:t xml:space="preserve">.  L’inclusion de nouveaux secteurs d’activités dans la législation relative </w:t>
      </w:r>
      <w:r w:rsidR="009943E9" w:rsidRPr="006065B6">
        <w:rPr>
          <w:rFonts w:ascii="Times New Roman" w:hAnsi="Times New Roman" w:cs="Times New Roman"/>
          <w:sz w:val="24"/>
          <w:szCs w:val="24"/>
          <w:lang w:eastAsia="ko-KR"/>
        </w:rPr>
        <w:t xml:space="preserve"> </w:t>
      </w:r>
      <w:r w:rsidRPr="006065B6">
        <w:rPr>
          <w:rFonts w:ascii="Times New Roman" w:hAnsi="Times New Roman" w:cs="Times New Roman"/>
          <w:sz w:val="24"/>
          <w:szCs w:val="24"/>
          <w:lang w:eastAsia="ko-KR"/>
        </w:rPr>
        <w:t>aux exemptio</w:t>
      </w:r>
      <w:r w:rsidR="0092076F" w:rsidRPr="006065B6">
        <w:rPr>
          <w:rFonts w:ascii="Times New Roman" w:hAnsi="Times New Roman" w:cs="Times New Roman"/>
          <w:sz w:val="24"/>
          <w:szCs w:val="24"/>
          <w:lang w:eastAsia="ko-KR"/>
        </w:rPr>
        <w:t>ns</w:t>
      </w:r>
    </w:p>
    <w:p w:rsidR="003E1B88" w:rsidRPr="006065B6" w:rsidRDefault="003E1B88" w:rsidP="00772122">
      <w:pPr>
        <w:spacing w:after="0"/>
        <w:ind w:left="720"/>
        <w:jc w:val="both"/>
        <w:rPr>
          <w:rFonts w:ascii="Times New Roman" w:hAnsi="Times New Roman" w:cs="Times New Roman"/>
          <w:sz w:val="24"/>
          <w:szCs w:val="24"/>
          <w:lang w:eastAsia="ko-KR"/>
        </w:rPr>
      </w:pPr>
      <w:r w:rsidRPr="006065B6">
        <w:rPr>
          <w:rFonts w:ascii="Times New Roman" w:hAnsi="Times New Roman" w:cs="Times New Roman"/>
          <w:sz w:val="24"/>
          <w:szCs w:val="24"/>
          <w:lang w:eastAsia="ko-KR"/>
        </w:rPr>
        <w:t xml:space="preserve">.  </w:t>
      </w:r>
      <w:r w:rsidR="0092076F" w:rsidRPr="006065B6">
        <w:rPr>
          <w:rFonts w:ascii="Times New Roman" w:hAnsi="Times New Roman" w:cs="Times New Roman"/>
          <w:sz w:val="24"/>
          <w:szCs w:val="24"/>
          <w:lang w:eastAsia="ko-KR"/>
        </w:rPr>
        <w:t>Les mécanismes de révision du salaire minimum</w:t>
      </w:r>
    </w:p>
    <w:p w:rsidR="0092076F" w:rsidRPr="006065B6" w:rsidRDefault="0092076F" w:rsidP="00772122">
      <w:pPr>
        <w:spacing w:after="0"/>
        <w:ind w:left="720"/>
        <w:jc w:val="both"/>
        <w:rPr>
          <w:rFonts w:ascii="Times New Roman" w:hAnsi="Times New Roman" w:cs="Times New Roman"/>
          <w:sz w:val="24"/>
          <w:szCs w:val="24"/>
          <w:lang w:eastAsia="ko-KR"/>
        </w:rPr>
      </w:pPr>
      <w:r w:rsidRPr="006065B6">
        <w:rPr>
          <w:rFonts w:ascii="Times New Roman" w:hAnsi="Times New Roman" w:cs="Times New Roman"/>
          <w:sz w:val="24"/>
          <w:szCs w:val="24"/>
          <w:lang w:eastAsia="ko-KR"/>
        </w:rPr>
        <w:t>.  Les résolutions de</w:t>
      </w:r>
      <w:r w:rsidR="00F74F46" w:rsidRPr="006065B6">
        <w:rPr>
          <w:rFonts w:ascii="Times New Roman" w:hAnsi="Times New Roman" w:cs="Times New Roman"/>
          <w:sz w:val="24"/>
          <w:szCs w:val="24"/>
          <w:lang w:eastAsia="ko-KR"/>
        </w:rPr>
        <w:t>s</w:t>
      </w:r>
      <w:r w:rsidRPr="006065B6">
        <w:rPr>
          <w:rFonts w:ascii="Times New Roman" w:hAnsi="Times New Roman" w:cs="Times New Roman"/>
          <w:sz w:val="24"/>
          <w:szCs w:val="24"/>
          <w:lang w:eastAsia="ko-KR"/>
        </w:rPr>
        <w:t xml:space="preserve"> conflits</w:t>
      </w:r>
      <w:r w:rsidR="00944C49" w:rsidRPr="006065B6">
        <w:rPr>
          <w:rFonts w:ascii="Times New Roman" w:hAnsi="Times New Roman" w:cs="Times New Roman"/>
          <w:sz w:val="24"/>
          <w:szCs w:val="24"/>
          <w:lang w:eastAsia="ko-KR"/>
        </w:rPr>
        <w:t xml:space="preserve"> et des modes plus modernes </w:t>
      </w:r>
    </w:p>
    <w:p w:rsidR="0092076F" w:rsidRPr="006065B6" w:rsidRDefault="0092076F" w:rsidP="00772122">
      <w:pPr>
        <w:spacing w:after="0"/>
        <w:ind w:left="720"/>
        <w:jc w:val="both"/>
        <w:rPr>
          <w:rFonts w:ascii="Times New Roman" w:hAnsi="Times New Roman" w:cs="Times New Roman"/>
          <w:sz w:val="24"/>
          <w:szCs w:val="24"/>
          <w:lang w:eastAsia="ko-KR"/>
        </w:rPr>
      </w:pPr>
      <w:r w:rsidRPr="006065B6">
        <w:rPr>
          <w:rFonts w:ascii="Times New Roman" w:hAnsi="Times New Roman" w:cs="Times New Roman"/>
          <w:sz w:val="24"/>
          <w:szCs w:val="24"/>
          <w:lang w:eastAsia="ko-KR"/>
        </w:rPr>
        <w:t xml:space="preserve">.  </w:t>
      </w:r>
      <w:r w:rsidR="00570984" w:rsidRPr="006065B6">
        <w:rPr>
          <w:rFonts w:ascii="Times New Roman" w:hAnsi="Times New Roman" w:cs="Times New Roman"/>
          <w:sz w:val="24"/>
          <w:szCs w:val="24"/>
          <w:lang w:eastAsia="ko-KR"/>
        </w:rPr>
        <w:t>Les réformes des organismes de sécurité sociale</w:t>
      </w:r>
    </w:p>
    <w:p w:rsidR="00570984" w:rsidRPr="006065B6" w:rsidRDefault="00570984" w:rsidP="00772122">
      <w:pPr>
        <w:spacing w:after="0"/>
        <w:ind w:left="720"/>
        <w:jc w:val="both"/>
        <w:rPr>
          <w:rFonts w:ascii="Times New Roman" w:hAnsi="Times New Roman" w:cs="Times New Roman"/>
          <w:sz w:val="24"/>
          <w:szCs w:val="24"/>
          <w:lang w:eastAsia="ko-KR"/>
        </w:rPr>
      </w:pPr>
    </w:p>
    <w:p w:rsidR="00570984" w:rsidRPr="006065B6" w:rsidRDefault="004C7C30" w:rsidP="00772122">
      <w:pPr>
        <w:tabs>
          <w:tab w:val="left" w:pos="1440"/>
        </w:tabs>
        <w:spacing w:after="0"/>
        <w:jc w:val="both"/>
        <w:rPr>
          <w:rFonts w:ascii="Times New Roman" w:hAnsi="Times New Roman" w:cs="Times New Roman"/>
          <w:sz w:val="24"/>
          <w:szCs w:val="24"/>
          <w:lang w:eastAsia="ko-KR"/>
        </w:rPr>
      </w:pPr>
      <w:r w:rsidRPr="006065B6">
        <w:rPr>
          <w:rFonts w:ascii="Times New Roman" w:hAnsi="Times New Roman" w:cs="Times New Roman"/>
          <w:sz w:val="24"/>
          <w:szCs w:val="24"/>
          <w:lang w:eastAsia="ko-KR"/>
        </w:rPr>
        <w:t>L’APB est membre fondateur du Forum Economique du Secteur Privé. Les activités de</w:t>
      </w:r>
      <w:r w:rsidR="003247A2" w:rsidRPr="006065B6">
        <w:rPr>
          <w:rFonts w:ascii="Times New Roman" w:hAnsi="Times New Roman" w:cs="Times New Roman"/>
          <w:sz w:val="24"/>
          <w:szCs w:val="24"/>
          <w:lang w:eastAsia="ko-KR"/>
        </w:rPr>
        <w:t xml:space="preserve"> </w:t>
      </w:r>
      <w:r w:rsidRPr="006065B6">
        <w:rPr>
          <w:rFonts w:ascii="Times New Roman" w:hAnsi="Times New Roman" w:cs="Times New Roman"/>
          <w:sz w:val="24"/>
          <w:szCs w:val="24"/>
          <w:lang w:eastAsia="ko-KR"/>
        </w:rPr>
        <w:t xml:space="preserve">cette année étaient ciblées sur la protection </w:t>
      </w:r>
      <w:r w:rsidR="009F1737" w:rsidRPr="006065B6">
        <w:rPr>
          <w:rFonts w:ascii="Times New Roman" w:hAnsi="Times New Roman" w:cs="Times New Roman"/>
          <w:sz w:val="24"/>
          <w:szCs w:val="24"/>
          <w:lang w:eastAsia="ko-KR"/>
        </w:rPr>
        <w:t xml:space="preserve">de l’industrie locale. Dans </w:t>
      </w:r>
      <w:r w:rsidR="00A77B3E" w:rsidRPr="006065B6">
        <w:rPr>
          <w:rFonts w:ascii="Times New Roman" w:hAnsi="Times New Roman" w:cs="Times New Roman"/>
          <w:sz w:val="24"/>
          <w:szCs w:val="24"/>
          <w:lang w:eastAsia="ko-KR"/>
        </w:rPr>
        <w:t>cette perspective, le F</w:t>
      </w:r>
      <w:r w:rsidR="009F1737" w:rsidRPr="006065B6">
        <w:rPr>
          <w:rFonts w:ascii="Times New Roman" w:hAnsi="Times New Roman" w:cs="Times New Roman"/>
          <w:sz w:val="24"/>
          <w:szCs w:val="24"/>
          <w:lang w:eastAsia="ko-KR"/>
        </w:rPr>
        <w:t>orum s’est positionné</w:t>
      </w:r>
      <w:r w:rsidR="00B674F1" w:rsidRPr="006065B6">
        <w:rPr>
          <w:rFonts w:ascii="Times New Roman" w:hAnsi="Times New Roman" w:cs="Times New Roman"/>
          <w:sz w:val="24"/>
          <w:szCs w:val="24"/>
          <w:lang w:eastAsia="ko-KR"/>
        </w:rPr>
        <w:t xml:space="preserve">, </w:t>
      </w:r>
      <w:r w:rsidR="009F1737" w:rsidRPr="006065B6">
        <w:rPr>
          <w:rFonts w:ascii="Times New Roman" w:hAnsi="Times New Roman" w:cs="Times New Roman"/>
          <w:sz w:val="24"/>
          <w:szCs w:val="24"/>
          <w:lang w:eastAsia="ko-KR"/>
        </w:rPr>
        <w:t>par note de presse</w:t>
      </w:r>
      <w:r w:rsidR="00B674F1" w:rsidRPr="006065B6">
        <w:rPr>
          <w:rFonts w:ascii="Times New Roman" w:hAnsi="Times New Roman" w:cs="Times New Roman"/>
          <w:sz w:val="24"/>
          <w:szCs w:val="24"/>
          <w:lang w:eastAsia="ko-KR"/>
        </w:rPr>
        <w:t xml:space="preserve">, </w:t>
      </w:r>
      <w:r w:rsidR="009F1737" w:rsidRPr="006065B6">
        <w:rPr>
          <w:rFonts w:ascii="Times New Roman" w:hAnsi="Times New Roman" w:cs="Times New Roman"/>
          <w:sz w:val="24"/>
          <w:szCs w:val="24"/>
          <w:lang w:eastAsia="ko-KR"/>
        </w:rPr>
        <w:t xml:space="preserve">sur les relations économiques et commerciales entre Haïti et la </w:t>
      </w:r>
      <w:r w:rsidR="00FA092E" w:rsidRPr="006065B6">
        <w:rPr>
          <w:rFonts w:ascii="Times New Roman" w:hAnsi="Times New Roman" w:cs="Times New Roman"/>
          <w:sz w:val="24"/>
          <w:szCs w:val="24"/>
          <w:lang w:eastAsia="ko-KR"/>
        </w:rPr>
        <w:t>R</w:t>
      </w:r>
      <w:r w:rsidR="009F1737" w:rsidRPr="006065B6">
        <w:rPr>
          <w:rFonts w:ascii="Times New Roman" w:hAnsi="Times New Roman" w:cs="Times New Roman"/>
          <w:sz w:val="24"/>
          <w:szCs w:val="24"/>
          <w:lang w:eastAsia="ko-KR"/>
        </w:rPr>
        <w:t>épublique Dominicaine</w:t>
      </w:r>
      <w:r w:rsidR="00FD5345" w:rsidRPr="006065B6">
        <w:rPr>
          <w:rFonts w:ascii="Times New Roman" w:hAnsi="Times New Roman" w:cs="Times New Roman"/>
          <w:sz w:val="24"/>
          <w:szCs w:val="24"/>
          <w:lang w:eastAsia="ko-KR"/>
        </w:rPr>
        <w:t>. Le Forum a fait des suggestions sur la nouvelle loi de Finances. Des propositions ont été faites sur le tarif douanier et les dispositions relatives à l’enregistrement des hypothèques et des transactions immobilières.</w:t>
      </w:r>
    </w:p>
    <w:p w:rsidR="007D3B43" w:rsidRPr="001A5F38" w:rsidRDefault="007D3B43" w:rsidP="00772122">
      <w:pPr>
        <w:tabs>
          <w:tab w:val="left" w:pos="1440"/>
        </w:tabs>
        <w:spacing w:after="0"/>
        <w:ind w:left="720"/>
        <w:jc w:val="both"/>
        <w:rPr>
          <w:rFonts w:cs="Times New Roman"/>
          <w:sz w:val="28"/>
          <w:szCs w:val="28"/>
          <w:lang w:eastAsia="ko-KR"/>
        </w:rPr>
      </w:pPr>
    </w:p>
    <w:p w:rsidR="004F490B" w:rsidRPr="001A5F38" w:rsidRDefault="004F490B" w:rsidP="00772122">
      <w:pPr>
        <w:tabs>
          <w:tab w:val="left" w:pos="1440"/>
          <w:tab w:val="left" w:pos="1530"/>
        </w:tabs>
        <w:jc w:val="both"/>
        <w:rPr>
          <w:rFonts w:cs="Times New Roman"/>
          <w:b/>
          <w:sz w:val="28"/>
          <w:szCs w:val="28"/>
          <w:lang w:eastAsia="ko-KR"/>
        </w:rPr>
      </w:pPr>
      <w:r w:rsidRPr="001A5F38">
        <w:rPr>
          <w:rFonts w:cs="Times New Roman"/>
          <w:b/>
          <w:sz w:val="28"/>
          <w:szCs w:val="28"/>
          <w:lang w:eastAsia="ko-KR"/>
        </w:rPr>
        <w:t xml:space="preserve">VII)  </w:t>
      </w:r>
      <w:r w:rsidRPr="001A5F38">
        <w:rPr>
          <w:rFonts w:cs="Times New Roman"/>
          <w:b/>
          <w:sz w:val="28"/>
          <w:szCs w:val="28"/>
          <w:u w:val="single"/>
          <w:lang w:eastAsia="ko-KR"/>
        </w:rPr>
        <w:t>Cours de formation</w:t>
      </w:r>
    </w:p>
    <w:p w:rsidR="002B749B" w:rsidRPr="00DC15F1" w:rsidRDefault="00F25429" w:rsidP="00772122">
      <w:pPr>
        <w:tabs>
          <w:tab w:val="left" w:pos="1440"/>
          <w:tab w:val="left" w:pos="1530"/>
        </w:tabs>
        <w:jc w:val="both"/>
        <w:rPr>
          <w:rFonts w:ascii="Times New Roman" w:hAnsi="Times New Roman" w:cs="Times New Roman"/>
          <w:sz w:val="24"/>
          <w:szCs w:val="24"/>
          <w:lang w:eastAsia="ko-KR"/>
        </w:rPr>
      </w:pPr>
      <w:r w:rsidRPr="00DC15F1">
        <w:rPr>
          <w:rFonts w:ascii="Times New Roman" w:hAnsi="Times New Roman" w:cs="Times New Roman"/>
          <w:sz w:val="24"/>
          <w:szCs w:val="24"/>
          <w:lang w:eastAsia="ko-KR"/>
        </w:rPr>
        <w:t>Depuis huit (8) années, l’APB dispense dans ses locaux deux (2) ty</w:t>
      </w:r>
      <w:r w:rsidR="00E779AB" w:rsidRPr="00DC15F1">
        <w:rPr>
          <w:rFonts w:ascii="Times New Roman" w:hAnsi="Times New Roman" w:cs="Times New Roman"/>
          <w:sz w:val="24"/>
          <w:szCs w:val="24"/>
          <w:lang w:eastAsia="ko-KR"/>
        </w:rPr>
        <w:t>p</w:t>
      </w:r>
      <w:r w:rsidRPr="00DC15F1">
        <w:rPr>
          <w:rFonts w:ascii="Times New Roman" w:hAnsi="Times New Roman" w:cs="Times New Roman"/>
          <w:sz w:val="24"/>
          <w:szCs w:val="24"/>
          <w:lang w:eastAsia="ko-KR"/>
        </w:rPr>
        <w:t xml:space="preserve">es de formation : le Brevet Bancaire et l’Institut Technique de Banque. Le taux de réussite et l’adhésion des Banques </w:t>
      </w:r>
      <w:r w:rsidR="00D27DA3" w:rsidRPr="00DC15F1">
        <w:rPr>
          <w:rFonts w:ascii="Times New Roman" w:hAnsi="Times New Roman" w:cs="Times New Roman"/>
          <w:sz w:val="24"/>
          <w:szCs w:val="24"/>
          <w:lang w:eastAsia="ko-KR"/>
        </w:rPr>
        <w:t xml:space="preserve">sont des motifs d’encouragement pour poursuivre les cours et </w:t>
      </w:r>
      <w:r w:rsidR="00E779AB" w:rsidRPr="00DC15F1">
        <w:rPr>
          <w:rFonts w:ascii="Times New Roman" w:hAnsi="Times New Roman" w:cs="Times New Roman"/>
          <w:sz w:val="24"/>
          <w:szCs w:val="24"/>
          <w:lang w:eastAsia="ko-KR"/>
        </w:rPr>
        <w:t xml:space="preserve">introduire </w:t>
      </w:r>
      <w:r w:rsidR="00BB72D4" w:rsidRPr="00DC15F1">
        <w:rPr>
          <w:rFonts w:ascii="Times New Roman" w:hAnsi="Times New Roman" w:cs="Times New Roman"/>
          <w:sz w:val="24"/>
          <w:szCs w:val="24"/>
          <w:lang w:eastAsia="ko-KR"/>
        </w:rPr>
        <w:t xml:space="preserve">de nouveaux modules. C’est dans cette perspective que la Direction de </w:t>
      </w:r>
      <w:r w:rsidR="004D39AD" w:rsidRPr="00DC15F1">
        <w:rPr>
          <w:rFonts w:ascii="Times New Roman" w:hAnsi="Times New Roman" w:cs="Times New Roman"/>
          <w:sz w:val="24"/>
          <w:szCs w:val="24"/>
          <w:lang w:eastAsia="ko-KR"/>
        </w:rPr>
        <w:t>Développement</w:t>
      </w:r>
      <w:r w:rsidR="00BB72D4" w:rsidRPr="00DC15F1">
        <w:rPr>
          <w:rFonts w:ascii="Times New Roman" w:hAnsi="Times New Roman" w:cs="Times New Roman"/>
          <w:sz w:val="24"/>
          <w:szCs w:val="24"/>
          <w:lang w:eastAsia="ko-KR"/>
        </w:rPr>
        <w:t xml:space="preserve"> International et Outre-mer </w:t>
      </w:r>
      <w:r w:rsidR="0082154D" w:rsidRPr="00DC15F1">
        <w:rPr>
          <w:rFonts w:ascii="Times New Roman" w:hAnsi="Times New Roman" w:cs="Times New Roman"/>
          <w:sz w:val="24"/>
          <w:szCs w:val="24"/>
          <w:lang w:eastAsia="ko-KR"/>
        </w:rPr>
        <w:t xml:space="preserve">du Centre de Formation </w:t>
      </w:r>
      <w:r w:rsidR="00844798" w:rsidRPr="00DC15F1">
        <w:rPr>
          <w:rFonts w:ascii="Times New Roman" w:hAnsi="Times New Roman" w:cs="Times New Roman"/>
          <w:sz w:val="24"/>
          <w:szCs w:val="24"/>
          <w:lang w:eastAsia="ko-KR"/>
        </w:rPr>
        <w:t xml:space="preserve">de la Profession Bancaire de France (CFPB) a dépêché en </w:t>
      </w:r>
      <w:r w:rsidR="004D39AD" w:rsidRPr="00DC15F1">
        <w:rPr>
          <w:rFonts w:ascii="Times New Roman" w:hAnsi="Times New Roman" w:cs="Times New Roman"/>
          <w:sz w:val="24"/>
          <w:szCs w:val="24"/>
          <w:lang w:eastAsia="ko-KR"/>
        </w:rPr>
        <w:t>Haïti</w:t>
      </w:r>
      <w:r w:rsidR="00844798" w:rsidRPr="00DC15F1">
        <w:rPr>
          <w:rFonts w:ascii="Times New Roman" w:hAnsi="Times New Roman" w:cs="Times New Roman"/>
          <w:sz w:val="24"/>
          <w:szCs w:val="24"/>
          <w:lang w:eastAsia="ko-KR"/>
        </w:rPr>
        <w:t>, madame Nathalie Picard pour présenter aux membres</w:t>
      </w:r>
      <w:r w:rsidR="00404E1F" w:rsidRPr="00DC15F1">
        <w:rPr>
          <w:rFonts w:ascii="Times New Roman" w:hAnsi="Times New Roman" w:cs="Times New Roman"/>
          <w:sz w:val="24"/>
          <w:szCs w:val="24"/>
          <w:lang w:eastAsia="ko-KR"/>
        </w:rPr>
        <w:t xml:space="preserve"> de l’APB</w:t>
      </w:r>
      <w:r w:rsidR="002B749B" w:rsidRPr="00DC15F1">
        <w:rPr>
          <w:rFonts w:ascii="Times New Roman" w:hAnsi="Times New Roman" w:cs="Times New Roman"/>
          <w:sz w:val="24"/>
          <w:szCs w:val="24"/>
          <w:lang w:eastAsia="ko-KR"/>
        </w:rPr>
        <w:t>, les nouvelles formations.</w:t>
      </w:r>
    </w:p>
    <w:p w:rsidR="00512A79" w:rsidRPr="00DC15F1" w:rsidRDefault="00844798" w:rsidP="00772122">
      <w:pPr>
        <w:tabs>
          <w:tab w:val="left" w:pos="1440"/>
          <w:tab w:val="left" w:pos="1530"/>
        </w:tabs>
        <w:jc w:val="both"/>
        <w:rPr>
          <w:rFonts w:ascii="Times New Roman" w:hAnsi="Times New Roman" w:cs="Times New Roman"/>
          <w:sz w:val="24"/>
          <w:szCs w:val="24"/>
          <w:lang w:eastAsia="ko-KR"/>
        </w:rPr>
      </w:pPr>
      <w:r w:rsidRPr="00DC15F1">
        <w:rPr>
          <w:rFonts w:ascii="Times New Roman" w:hAnsi="Times New Roman" w:cs="Times New Roman"/>
          <w:sz w:val="24"/>
          <w:szCs w:val="24"/>
          <w:lang w:eastAsia="ko-KR"/>
        </w:rPr>
        <w:t xml:space="preserve"> </w:t>
      </w:r>
      <w:r w:rsidR="00C7635C" w:rsidRPr="00DC15F1">
        <w:rPr>
          <w:rFonts w:ascii="Times New Roman" w:hAnsi="Times New Roman" w:cs="Times New Roman"/>
          <w:sz w:val="24"/>
          <w:szCs w:val="24"/>
          <w:lang w:eastAsia="ko-KR"/>
        </w:rPr>
        <w:t xml:space="preserve">En Assemblée Générale, la Responsable pour Madagascar, </w:t>
      </w:r>
      <w:r w:rsidR="00DE59B7" w:rsidRPr="00DC15F1">
        <w:rPr>
          <w:rFonts w:ascii="Times New Roman" w:hAnsi="Times New Roman" w:cs="Times New Roman"/>
          <w:sz w:val="24"/>
          <w:szCs w:val="24"/>
          <w:lang w:eastAsia="ko-KR"/>
        </w:rPr>
        <w:t>Haïti</w:t>
      </w:r>
      <w:r w:rsidR="00C7635C" w:rsidRPr="00DC15F1">
        <w:rPr>
          <w:rFonts w:ascii="Times New Roman" w:hAnsi="Times New Roman" w:cs="Times New Roman"/>
          <w:sz w:val="24"/>
          <w:szCs w:val="24"/>
          <w:lang w:eastAsia="ko-KR"/>
        </w:rPr>
        <w:t xml:space="preserve"> et </w:t>
      </w:r>
      <w:r w:rsidR="001A5F38" w:rsidRPr="00DC15F1">
        <w:rPr>
          <w:rFonts w:ascii="Times New Roman" w:hAnsi="Times New Roman" w:cs="Times New Roman"/>
          <w:sz w:val="24"/>
          <w:szCs w:val="24"/>
          <w:lang w:eastAsia="ko-KR"/>
        </w:rPr>
        <w:t>Comores a</w:t>
      </w:r>
      <w:r w:rsidR="00C7635C" w:rsidRPr="00DC15F1">
        <w:rPr>
          <w:rFonts w:ascii="Times New Roman" w:hAnsi="Times New Roman" w:cs="Times New Roman"/>
          <w:sz w:val="24"/>
          <w:szCs w:val="24"/>
          <w:lang w:eastAsia="ko-KR"/>
        </w:rPr>
        <w:t xml:space="preserve"> eu l’occasion de fournir d’amples renseignements sur le</w:t>
      </w:r>
      <w:r w:rsidR="003C7872" w:rsidRPr="00DC15F1">
        <w:rPr>
          <w:rFonts w:ascii="Times New Roman" w:hAnsi="Times New Roman" w:cs="Times New Roman"/>
          <w:sz w:val="24"/>
          <w:szCs w:val="24"/>
          <w:lang w:eastAsia="ko-KR"/>
        </w:rPr>
        <w:t>s</w:t>
      </w:r>
      <w:r w:rsidR="00C7635C" w:rsidRPr="00DC15F1">
        <w:rPr>
          <w:rFonts w:ascii="Times New Roman" w:hAnsi="Times New Roman" w:cs="Times New Roman"/>
          <w:sz w:val="24"/>
          <w:szCs w:val="24"/>
          <w:lang w:eastAsia="ko-KR"/>
        </w:rPr>
        <w:t xml:space="preserve"> f</w:t>
      </w:r>
      <w:r w:rsidR="003C7872" w:rsidRPr="00DC15F1">
        <w:rPr>
          <w:rFonts w:ascii="Times New Roman" w:hAnsi="Times New Roman" w:cs="Times New Roman"/>
          <w:sz w:val="24"/>
          <w:szCs w:val="24"/>
          <w:lang w:eastAsia="ko-KR"/>
        </w:rPr>
        <w:t>ormations liées aux métiers tel</w:t>
      </w:r>
      <w:r w:rsidR="00C7635C" w:rsidRPr="00DC15F1">
        <w:rPr>
          <w:rFonts w:ascii="Times New Roman" w:hAnsi="Times New Roman" w:cs="Times New Roman"/>
          <w:sz w:val="24"/>
          <w:szCs w:val="24"/>
          <w:lang w:eastAsia="ko-KR"/>
        </w:rPr>
        <w:t xml:space="preserve">s conseiller clientèle, technique de vente, </w:t>
      </w:r>
      <w:r w:rsidR="00324A13" w:rsidRPr="00DC15F1">
        <w:rPr>
          <w:rFonts w:ascii="Times New Roman" w:hAnsi="Times New Roman" w:cs="Times New Roman"/>
          <w:sz w:val="24"/>
          <w:szCs w:val="24"/>
          <w:lang w:eastAsia="ko-KR"/>
        </w:rPr>
        <w:t xml:space="preserve">les formations </w:t>
      </w:r>
      <w:r w:rsidR="00944C49" w:rsidRPr="00DC15F1">
        <w:rPr>
          <w:rFonts w:ascii="Times New Roman" w:hAnsi="Times New Roman" w:cs="Times New Roman"/>
          <w:sz w:val="24"/>
          <w:szCs w:val="24"/>
          <w:lang w:eastAsia="ko-KR"/>
        </w:rPr>
        <w:t>donnant droit aux diplômes</w:t>
      </w:r>
      <w:r w:rsidR="00324A13" w:rsidRPr="00DC15F1">
        <w:rPr>
          <w:rFonts w:ascii="Times New Roman" w:hAnsi="Times New Roman" w:cs="Times New Roman"/>
          <w:sz w:val="24"/>
          <w:szCs w:val="24"/>
          <w:lang w:eastAsia="ko-KR"/>
        </w:rPr>
        <w:t xml:space="preserve"> comme la maîtrise et la gestion des risques de crédit et </w:t>
      </w:r>
      <w:r w:rsidR="00C7635C" w:rsidRPr="00DC15F1">
        <w:rPr>
          <w:rFonts w:ascii="Times New Roman" w:hAnsi="Times New Roman" w:cs="Times New Roman"/>
          <w:sz w:val="24"/>
          <w:szCs w:val="24"/>
          <w:lang w:eastAsia="ko-KR"/>
        </w:rPr>
        <w:t xml:space="preserve">les formations ciblées sur les responsables d’agence, </w:t>
      </w:r>
      <w:r w:rsidR="00B8646B" w:rsidRPr="00DC15F1">
        <w:rPr>
          <w:rFonts w:ascii="Times New Roman" w:hAnsi="Times New Roman" w:cs="Times New Roman"/>
          <w:sz w:val="24"/>
          <w:szCs w:val="24"/>
          <w:lang w:eastAsia="ko-KR"/>
        </w:rPr>
        <w:t xml:space="preserve">de point de vente. </w:t>
      </w:r>
      <w:r w:rsidR="00512A79" w:rsidRPr="00DC15F1">
        <w:rPr>
          <w:rFonts w:ascii="Times New Roman" w:hAnsi="Times New Roman" w:cs="Times New Roman"/>
          <w:sz w:val="24"/>
          <w:szCs w:val="24"/>
          <w:lang w:eastAsia="ko-KR"/>
        </w:rPr>
        <w:t xml:space="preserve">Les nouveaux cours priorisés par les membres de l’APB concernent </w:t>
      </w:r>
      <w:r w:rsidR="0007499B" w:rsidRPr="00DC15F1">
        <w:rPr>
          <w:rFonts w:ascii="Times New Roman" w:hAnsi="Times New Roman" w:cs="Times New Roman"/>
          <w:sz w:val="24"/>
          <w:szCs w:val="24"/>
          <w:lang w:eastAsia="ko-KR"/>
        </w:rPr>
        <w:t>les points</w:t>
      </w:r>
      <w:r w:rsidR="00512A79" w:rsidRPr="00DC15F1">
        <w:rPr>
          <w:rFonts w:ascii="Times New Roman" w:hAnsi="Times New Roman" w:cs="Times New Roman"/>
          <w:sz w:val="24"/>
          <w:szCs w:val="24"/>
          <w:lang w:eastAsia="ko-KR"/>
        </w:rPr>
        <w:t xml:space="preserve"> de vente et le crédit.</w:t>
      </w:r>
    </w:p>
    <w:p w:rsidR="004611CC" w:rsidRPr="00DC15F1" w:rsidRDefault="00BE4EAC" w:rsidP="00772122">
      <w:pPr>
        <w:tabs>
          <w:tab w:val="left" w:pos="1440"/>
          <w:tab w:val="left" w:pos="1530"/>
        </w:tabs>
        <w:jc w:val="both"/>
        <w:rPr>
          <w:rFonts w:ascii="Times New Roman" w:hAnsi="Times New Roman" w:cs="Times New Roman"/>
          <w:sz w:val="24"/>
          <w:szCs w:val="24"/>
          <w:lang w:eastAsia="ko-KR"/>
        </w:rPr>
      </w:pPr>
      <w:r w:rsidRPr="00DC15F1">
        <w:rPr>
          <w:rFonts w:ascii="Times New Roman" w:hAnsi="Times New Roman" w:cs="Times New Roman"/>
          <w:sz w:val="24"/>
          <w:szCs w:val="24"/>
          <w:lang w:eastAsia="ko-KR"/>
        </w:rPr>
        <w:t xml:space="preserve">Durant l’exercice 2012-2013, l’APB a </w:t>
      </w:r>
      <w:r w:rsidR="001F2A22" w:rsidRPr="00DC15F1">
        <w:rPr>
          <w:rFonts w:ascii="Times New Roman" w:hAnsi="Times New Roman" w:cs="Times New Roman"/>
          <w:sz w:val="24"/>
          <w:szCs w:val="24"/>
          <w:lang w:eastAsia="ko-KR"/>
        </w:rPr>
        <w:t>reçu</w:t>
      </w:r>
      <w:r w:rsidRPr="00DC15F1">
        <w:rPr>
          <w:rFonts w:ascii="Times New Roman" w:hAnsi="Times New Roman" w:cs="Times New Roman"/>
          <w:sz w:val="24"/>
          <w:szCs w:val="24"/>
          <w:lang w:eastAsia="ko-KR"/>
        </w:rPr>
        <w:t xml:space="preserve"> en formation une soixantaine de candidats </w:t>
      </w:r>
      <w:r w:rsidR="00EC7DBC" w:rsidRPr="00DC15F1">
        <w:rPr>
          <w:rFonts w:ascii="Times New Roman" w:hAnsi="Times New Roman" w:cs="Times New Roman"/>
          <w:sz w:val="24"/>
          <w:szCs w:val="24"/>
          <w:lang w:eastAsia="ko-KR"/>
        </w:rPr>
        <w:t xml:space="preserve">venus de la Banque Nationale de Crédit, </w:t>
      </w:r>
      <w:r w:rsidR="00E215FC" w:rsidRPr="00DC15F1">
        <w:rPr>
          <w:rFonts w:ascii="Times New Roman" w:hAnsi="Times New Roman" w:cs="Times New Roman"/>
          <w:sz w:val="24"/>
          <w:szCs w:val="24"/>
          <w:lang w:eastAsia="ko-KR"/>
        </w:rPr>
        <w:t xml:space="preserve">la </w:t>
      </w:r>
      <w:r w:rsidR="00EC7DBC" w:rsidRPr="00DC15F1">
        <w:rPr>
          <w:rFonts w:ascii="Times New Roman" w:hAnsi="Times New Roman" w:cs="Times New Roman"/>
          <w:sz w:val="24"/>
          <w:szCs w:val="24"/>
          <w:lang w:eastAsia="ko-KR"/>
        </w:rPr>
        <w:t xml:space="preserve">Unibank, </w:t>
      </w:r>
      <w:r w:rsidR="00E215FC" w:rsidRPr="00DC15F1">
        <w:rPr>
          <w:rFonts w:ascii="Times New Roman" w:hAnsi="Times New Roman" w:cs="Times New Roman"/>
          <w:sz w:val="24"/>
          <w:szCs w:val="24"/>
          <w:lang w:eastAsia="ko-KR"/>
        </w:rPr>
        <w:t xml:space="preserve">la </w:t>
      </w:r>
      <w:r w:rsidR="00EC7DBC" w:rsidRPr="00DC15F1">
        <w:rPr>
          <w:rFonts w:ascii="Times New Roman" w:hAnsi="Times New Roman" w:cs="Times New Roman"/>
          <w:sz w:val="24"/>
          <w:szCs w:val="24"/>
          <w:lang w:eastAsia="ko-KR"/>
        </w:rPr>
        <w:t>Sogebank</w:t>
      </w:r>
      <w:r w:rsidR="00E215FC" w:rsidRPr="00DC15F1">
        <w:rPr>
          <w:rFonts w:ascii="Times New Roman" w:hAnsi="Times New Roman" w:cs="Times New Roman"/>
          <w:sz w:val="24"/>
          <w:szCs w:val="24"/>
          <w:lang w:eastAsia="ko-KR"/>
        </w:rPr>
        <w:t xml:space="preserve">, la </w:t>
      </w:r>
      <w:r w:rsidR="00EC7DBC" w:rsidRPr="00DC15F1">
        <w:rPr>
          <w:rFonts w:ascii="Times New Roman" w:hAnsi="Times New Roman" w:cs="Times New Roman"/>
          <w:sz w:val="24"/>
          <w:szCs w:val="24"/>
          <w:lang w:eastAsia="ko-KR"/>
        </w:rPr>
        <w:t xml:space="preserve">Capital Bank. En Brevet, deux (2) groupes </w:t>
      </w:r>
      <w:r w:rsidR="00B7775A" w:rsidRPr="00DC15F1">
        <w:rPr>
          <w:rFonts w:ascii="Times New Roman" w:hAnsi="Times New Roman" w:cs="Times New Roman"/>
          <w:sz w:val="24"/>
          <w:szCs w:val="24"/>
          <w:lang w:eastAsia="ko-KR"/>
        </w:rPr>
        <w:t xml:space="preserve"> étaient en formation, Brevet 1 avec un effectif de 18 apprenants et Brevet 2 avec un effectif de 12 </w:t>
      </w:r>
      <w:r w:rsidR="00B7775A" w:rsidRPr="00DC15F1">
        <w:rPr>
          <w:rFonts w:ascii="Times New Roman" w:hAnsi="Times New Roman" w:cs="Times New Roman"/>
          <w:sz w:val="24"/>
          <w:szCs w:val="24"/>
          <w:lang w:eastAsia="ko-KR"/>
        </w:rPr>
        <w:lastRenderedPageBreak/>
        <w:t>étudiants.</w:t>
      </w:r>
      <w:r w:rsidR="009D5EB8" w:rsidRPr="00DC15F1">
        <w:rPr>
          <w:rFonts w:ascii="Times New Roman" w:hAnsi="Times New Roman" w:cs="Times New Roman"/>
          <w:sz w:val="24"/>
          <w:szCs w:val="24"/>
          <w:lang w:eastAsia="ko-KR"/>
        </w:rPr>
        <w:t xml:space="preserve"> Pour l’ITB, l’effectif total s’élève à 29 répartis comme suit : ITB1 : 13 inscrits et  ITB2 : 16 candidats aux </w:t>
      </w:r>
      <w:r w:rsidR="001F2A22" w:rsidRPr="00DC15F1">
        <w:rPr>
          <w:rFonts w:ascii="Times New Roman" w:hAnsi="Times New Roman" w:cs="Times New Roman"/>
          <w:sz w:val="24"/>
          <w:szCs w:val="24"/>
          <w:lang w:eastAsia="ko-KR"/>
        </w:rPr>
        <w:t>diplômes</w:t>
      </w:r>
      <w:r w:rsidR="009D5EB8" w:rsidRPr="00DC15F1">
        <w:rPr>
          <w:rFonts w:ascii="Times New Roman" w:hAnsi="Times New Roman" w:cs="Times New Roman"/>
          <w:sz w:val="24"/>
          <w:szCs w:val="24"/>
          <w:lang w:eastAsia="ko-KR"/>
        </w:rPr>
        <w:t xml:space="preserve">. </w:t>
      </w:r>
    </w:p>
    <w:p w:rsidR="004F490B" w:rsidRPr="00DC15F1" w:rsidRDefault="00A84DC6" w:rsidP="00772122">
      <w:pPr>
        <w:tabs>
          <w:tab w:val="left" w:pos="1440"/>
          <w:tab w:val="left" w:pos="1530"/>
        </w:tabs>
        <w:jc w:val="both"/>
        <w:rPr>
          <w:rFonts w:ascii="Times New Roman" w:hAnsi="Times New Roman" w:cs="Times New Roman"/>
          <w:sz w:val="24"/>
          <w:szCs w:val="24"/>
          <w:lang w:eastAsia="ko-KR"/>
        </w:rPr>
      </w:pPr>
      <w:r w:rsidRPr="00DC15F1">
        <w:rPr>
          <w:rFonts w:ascii="Times New Roman" w:hAnsi="Times New Roman" w:cs="Times New Roman"/>
          <w:sz w:val="24"/>
          <w:szCs w:val="24"/>
          <w:lang w:eastAsia="ko-KR"/>
        </w:rPr>
        <w:t xml:space="preserve">Le taux de réussite </w:t>
      </w:r>
      <w:r w:rsidR="00F25429" w:rsidRPr="00DC15F1">
        <w:rPr>
          <w:rFonts w:ascii="Times New Roman" w:hAnsi="Times New Roman" w:cs="Times New Roman"/>
          <w:sz w:val="24"/>
          <w:szCs w:val="24"/>
          <w:lang w:eastAsia="ko-KR"/>
        </w:rPr>
        <w:t>est satisfaisant</w:t>
      </w:r>
      <w:r w:rsidRPr="00DC15F1">
        <w:rPr>
          <w:rFonts w:ascii="Times New Roman" w:hAnsi="Times New Roman" w:cs="Times New Roman"/>
          <w:sz w:val="24"/>
          <w:szCs w:val="24"/>
          <w:lang w:eastAsia="ko-KR"/>
        </w:rPr>
        <w:t xml:space="preserve">, il est de 69,2% pour la première année </w:t>
      </w:r>
      <w:r w:rsidR="00883989" w:rsidRPr="00DC15F1">
        <w:rPr>
          <w:rFonts w:ascii="Times New Roman" w:hAnsi="Times New Roman" w:cs="Times New Roman"/>
          <w:sz w:val="24"/>
          <w:szCs w:val="24"/>
          <w:lang w:eastAsia="ko-KR"/>
        </w:rPr>
        <w:t xml:space="preserve">de l’ITB, </w:t>
      </w:r>
      <w:r w:rsidR="00625B18" w:rsidRPr="00DC15F1">
        <w:rPr>
          <w:rFonts w:ascii="Times New Roman" w:hAnsi="Times New Roman" w:cs="Times New Roman"/>
          <w:sz w:val="24"/>
          <w:szCs w:val="24"/>
          <w:lang w:eastAsia="ko-KR"/>
        </w:rPr>
        <w:t xml:space="preserve">75% pour la </w:t>
      </w:r>
      <w:r w:rsidR="00FB2017" w:rsidRPr="00DC15F1">
        <w:rPr>
          <w:rFonts w:ascii="Times New Roman" w:hAnsi="Times New Roman" w:cs="Times New Roman"/>
          <w:sz w:val="24"/>
          <w:szCs w:val="24"/>
          <w:lang w:eastAsia="ko-KR"/>
        </w:rPr>
        <w:t>seconde</w:t>
      </w:r>
      <w:r w:rsidR="00625B18" w:rsidRPr="00DC15F1">
        <w:rPr>
          <w:rFonts w:ascii="Times New Roman" w:hAnsi="Times New Roman" w:cs="Times New Roman"/>
          <w:sz w:val="24"/>
          <w:szCs w:val="24"/>
          <w:lang w:eastAsia="ko-KR"/>
        </w:rPr>
        <w:t xml:space="preserve"> année</w:t>
      </w:r>
      <w:r w:rsidR="00927802" w:rsidRPr="00DC15F1">
        <w:rPr>
          <w:rFonts w:ascii="Times New Roman" w:hAnsi="Times New Roman" w:cs="Times New Roman"/>
          <w:sz w:val="24"/>
          <w:szCs w:val="24"/>
          <w:lang w:eastAsia="ko-KR"/>
        </w:rPr>
        <w:t>. Le Brevet a connu un taux de réussite de 61% en première année</w:t>
      </w:r>
      <w:r w:rsidR="00F25429" w:rsidRPr="00DC15F1">
        <w:rPr>
          <w:rFonts w:ascii="Times New Roman" w:hAnsi="Times New Roman" w:cs="Times New Roman"/>
          <w:sz w:val="24"/>
          <w:szCs w:val="24"/>
          <w:lang w:eastAsia="ko-KR"/>
        </w:rPr>
        <w:t xml:space="preserve"> </w:t>
      </w:r>
      <w:r w:rsidR="00F4737D" w:rsidRPr="00DC15F1">
        <w:rPr>
          <w:rFonts w:ascii="Times New Roman" w:hAnsi="Times New Roman" w:cs="Times New Roman"/>
          <w:sz w:val="24"/>
          <w:szCs w:val="24"/>
          <w:lang w:eastAsia="ko-KR"/>
        </w:rPr>
        <w:t xml:space="preserve">et 91,67% pour la deuxième année. Ce </w:t>
      </w:r>
      <w:r w:rsidR="00944C49" w:rsidRPr="00DC15F1">
        <w:rPr>
          <w:rFonts w:ascii="Times New Roman" w:hAnsi="Times New Roman" w:cs="Times New Roman"/>
          <w:sz w:val="24"/>
          <w:szCs w:val="24"/>
          <w:lang w:eastAsia="ko-KR"/>
        </w:rPr>
        <w:t xml:space="preserve">dernier </w:t>
      </w:r>
      <w:r w:rsidR="00F4737D" w:rsidRPr="00DC15F1">
        <w:rPr>
          <w:rFonts w:ascii="Times New Roman" w:hAnsi="Times New Roman" w:cs="Times New Roman"/>
          <w:sz w:val="24"/>
          <w:szCs w:val="24"/>
          <w:lang w:eastAsia="ko-KR"/>
        </w:rPr>
        <w:t xml:space="preserve">taux de réussite permettra d’avoir la première promotion de Brevet Bancaire </w:t>
      </w:r>
      <w:r w:rsidR="00944C49" w:rsidRPr="00DC15F1">
        <w:rPr>
          <w:rFonts w:ascii="Times New Roman" w:hAnsi="Times New Roman" w:cs="Times New Roman"/>
          <w:sz w:val="24"/>
          <w:szCs w:val="24"/>
          <w:lang w:eastAsia="ko-KR"/>
        </w:rPr>
        <w:t xml:space="preserve">en 2013-2014 après </w:t>
      </w:r>
      <w:r w:rsidR="00F4737D" w:rsidRPr="00DC15F1">
        <w:rPr>
          <w:rFonts w:ascii="Times New Roman" w:hAnsi="Times New Roman" w:cs="Times New Roman"/>
          <w:sz w:val="24"/>
          <w:szCs w:val="24"/>
          <w:lang w:eastAsia="ko-KR"/>
        </w:rPr>
        <w:t>un cycle de trois (3) ans d’études.</w:t>
      </w:r>
    </w:p>
    <w:p w:rsidR="001D56D6" w:rsidRDefault="001D56D6" w:rsidP="00AC6EDE">
      <w:pPr>
        <w:tabs>
          <w:tab w:val="left" w:pos="1440"/>
          <w:tab w:val="left" w:pos="1530"/>
        </w:tabs>
        <w:spacing w:after="0" w:line="240" w:lineRule="auto"/>
        <w:rPr>
          <w:rFonts w:cs="Times New Roman"/>
          <w:b/>
          <w:sz w:val="28"/>
          <w:szCs w:val="28"/>
          <w:lang w:eastAsia="ko-KR"/>
        </w:rPr>
      </w:pPr>
    </w:p>
    <w:p w:rsidR="00324A13" w:rsidRDefault="00324A13" w:rsidP="00AC6EDE">
      <w:pPr>
        <w:tabs>
          <w:tab w:val="left" w:pos="1440"/>
          <w:tab w:val="left" w:pos="1530"/>
        </w:tabs>
        <w:spacing w:after="0" w:line="240" w:lineRule="auto"/>
        <w:rPr>
          <w:rFonts w:cs="Times New Roman"/>
          <w:b/>
          <w:sz w:val="28"/>
          <w:szCs w:val="28"/>
          <w:lang w:eastAsia="ko-KR"/>
        </w:rPr>
      </w:pPr>
    </w:p>
    <w:p w:rsidR="00B65035" w:rsidRPr="001A5F38" w:rsidRDefault="00B65035" w:rsidP="001D56D6">
      <w:pPr>
        <w:tabs>
          <w:tab w:val="left" w:pos="1440"/>
          <w:tab w:val="left" w:pos="1530"/>
        </w:tabs>
        <w:spacing w:after="0" w:line="240" w:lineRule="auto"/>
        <w:rPr>
          <w:rFonts w:cs="Times New Roman"/>
          <w:b/>
          <w:sz w:val="28"/>
          <w:szCs w:val="28"/>
          <w:lang w:eastAsia="ko-KR"/>
        </w:rPr>
      </w:pPr>
      <w:r w:rsidRPr="001A5F38">
        <w:rPr>
          <w:rFonts w:cs="Times New Roman"/>
          <w:b/>
          <w:sz w:val="28"/>
          <w:szCs w:val="28"/>
          <w:lang w:eastAsia="ko-KR"/>
        </w:rPr>
        <w:t>Liste de</w:t>
      </w:r>
      <w:r w:rsidR="00324A13">
        <w:rPr>
          <w:rFonts w:cs="Times New Roman"/>
          <w:b/>
          <w:sz w:val="28"/>
          <w:szCs w:val="28"/>
          <w:lang w:eastAsia="ko-KR"/>
        </w:rPr>
        <w:t>s</w:t>
      </w:r>
      <w:r w:rsidRPr="001A5F38">
        <w:rPr>
          <w:rFonts w:cs="Times New Roman"/>
          <w:b/>
          <w:sz w:val="28"/>
          <w:szCs w:val="28"/>
          <w:lang w:eastAsia="ko-KR"/>
        </w:rPr>
        <w:t xml:space="preserve"> diplômés de l’Institut Technique de Banque</w:t>
      </w:r>
    </w:p>
    <w:p w:rsidR="00B65035" w:rsidRDefault="00B65035" w:rsidP="001D56D6">
      <w:pPr>
        <w:tabs>
          <w:tab w:val="left" w:pos="1440"/>
          <w:tab w:val="left" w:pos="1530"/>
        </w:tabs>
        <w:spacing w:after="0" w:line="240" w:lineRule="auto"/>
        <w:rPr>
          <w:rFonts w:cs="Times New Roman"/>
          <w:b/>
          <w:sz w:val="28"/>
          <w:szCs w:val="28"/>
          <w:lang w:eastAsia="ko-KR"/>
        </w:rPr>
      </w:pPr>
      <w:r w:rsidRPr="001A5F38">
        <w:rPr>
          <w:rFonts w:cs="Times New Roman"/>
          <w:b/>
          <w:sz w:val="28"/>
          <w:szCs w:val="28"/>
          <w:lang w:eastAsia="ko-KR"/>
        </w:rPr>
        <w:t>Promotion 2011-2013</w:t>
      </w:r>
    </w:p>
    <w:p w:rsidR="00185984" w:rsidRPr="00E53C7A" w:rsidRDefault="00185984" w:rsidP="001D56D6">
      <w:pPr>
        <w:tabs>
          <w:tab w:val="left" w:pos="1440"/>
          <w:tab w:val="left" w:pos="1530"/>
        </w:tabs>
        <w:spacing w:after="0" w:line="240" w:lineRule="auto"/>
        <w:rPr>
          <w:rFonts w:ascii="Times New Roman" w:hAnsi="Times New Roman" w:cs="Times New Roman"/>
          <w:b/>
          <w:sz w:val="24"/>
          <w:szCs w:val="24"/>
          <w:lang w:eastAsia="ko-KR"/>
        </w:rPr>
      </w:pPr>
    </w:p>
    <w:p w:rsidR="0086463C" w:rsidRPr="00E53C7A" w:rsidRDefault="0086463C" w:rsidP="00B65035">
      <w:pPr>
        <w:tabs>
          <w:tab w:val="left" w:pos="1440"/>
          <w:tab w:val="left" w:pos="1530"/>
        </w:tabs>
        <w:spacing w:after="0"/>
        <w:jc w:val="both"/>
        <w:rPr>
          <w:rFonts w:ascii="Times New Roman" w:hAnsi="Times New Roman" w:cs="Times New Roman"/>
          <w:sz w:val="24"/>
          <w:szCs w:val="24"/>
          <w:lang w:eastAsia="ko-KR"/>
        </w:rPr>
      </w:pPr>
      <w:r w:rsidRPr="00E53C7A">
        <w:rPr>
          <w:rFonts w:ascii="Times New Roman" w:hAnsi="Times New Roman" w:cs="Times New Roman"/>
          <w:sz w:val="24"/>
          <w:szCs w:val="24"/>
          <w:lang w:eastAsia="ko-KR"/>
        </w:rPr>
        <w:t>Guichard Emmanuel HONORAT</w:t>
      </w:r>
      <w:r w:rsidR="003D00F8" w:rsidRPr="00E53C7A">
        <w:rPr>
          <w:rFonts w:ascii="Times New Roman" w:hAnsi="Times New Roman" w:cs="Times New Roman"/>
          <w:sz w:val="24"/>
          <w:szCs w:val="24"/>
          <w:lang w:eastAsia="ko-KR"/>
        </w:rPr>
        <w:tab/>
      </w:r>
      <w:r w:rsidR="006B3E42" w:rsidRPr="00E53C7A">
        <w:rPr>
          <w:rFonts w:ascii="Times New Roman" w:hAnsi="Times New Roman" w:cs="Times New Roman"/>
          <w:sz w:val="24"/>
          <w:szCs w:val="24"/>
          <w:lang w:eastAsia="ko-KR"/>
        </w:rPr>
        <w:tab/>
      </w:r>
      <w:r w:rsidR="00185984" w:rsidRPr="00E53C7A">
        <w:rPr>
          <w:rFonts w:ascii="Times New Roman" w:hAnsi="Times New Roman" w:cs="Times New Roman"/>
          <w:sz w:val="24"/>
          <w:szCs w:val="24"/>
          <w:lang w:eastAsia="ko-KR"/>
        </w:rPr>
        <w:tab/>
      </w:r>
      <w:r w:rsidR="00E53C7A">
        <w:rPr>
          <w:rFonts w:ascii="Times New Roman" w:hAnsi="Times New Roman" w:cs="Times New Roman"/>
          <w:sz w:val="24"/>
          <w:szCs w:val="24"/>
          <w:lang w:eastAsia="ko-KR"/>
        </w:rPr>
        <w:tab/>
      </w:r>
      <w:r w:rsidR="00B80C5C" w:rsidRPr="00E53C7A">
        <w:rPr>
          <w:rFonts w:ascii="Times New Roman" w:hAnsi="Times New Roman" w:cs="Times New Roman"/>
          <w:sz w:val="24"/>
          <w:szCs w:val="24"/>
          <w:lang w:eastAsia="ko-KR"/>
        </w:rPr>
        <w:t xml:space="preserve">  </w:t>
      </w:r>
      <w:r w:rsidR="00E53C7A">
        <w:rPr>
          <w:rFonts w:ascii="Times New Roman" w:hAnsi="Times New Roman" w:cs="Times New Roman"/>
          <w:sz w:val="24"/>
          <w:szCs w:val="24"/>
          <w:lang w:eastAsia="ko-KR"/>
        </w:rPr>
        <w:t xml:space="preserve"> </w:t>
      </w:r>
      <w:r w:rsidRPr="00E53C7A">
        <w:rPr>
          <w:rFonts w:ascii="Times New Roman" w:hAnsi="Times New Roman" w:cs="Times New Roman"/>
          <w:sz w:val="24"/>
          <w:szCs w:val="24"/>
          <w:lang w:eastAsia="ko-KR"/>
        </w:rPr>
        <w:t>Banque Nationale de Crédit</w:t>
      </w:r>
    </w:p>
    <w:p w:rsidR="0086463C" w:rsidRPr="00E53C7A" w:rsidRDefault="0086463C" w:rsidP="00B65035">
      <w:pPr>
        <w:tabs>
          <w:tab w:val="left" w:pos="1440"/>
          <w:tab w:val="left" w:pos="1530"/>
        </w:tabs>
        <w:spacing w:after="0"/>
        <w:jc w:val="both"/>
        <w:rPr>
          <w:rFonts w:ascii="Times New Roman" w:hAnsi="Times New Roman" w:cs="Times New Roman"/>
          <w:sz w:val="24"/>
          <w:szCs w:val="24"/>
          <w:lang w:eastAsia="ko-KR"/>
        </w:rPr>
      </w:pPr>
      <w:r w:rsidRPr="00E53C7A">
        <w:rPr>
          <w:rFonts w:ascii="Times New Roman" w:hAnsi="Times New Roman" w:cs="Times New Roman"/>
          <w:sz w:val="24"/>
          <w:szCs w:val="24"/>
          <w:lang w:eastAsia="ko-KR"/>
        </w:rPr>
        <w:t>Emmanuelle JEAN-BART</w:t>
      </w:r>
      <w:r w:rsidRPr="00E53C7A">
        <w:rPr>
          <w:rFonts w:ascii="Times New Roman" w:hAnsi="Times New Roman" w:cs="Times New Roman"/>
          <w:sz w:val="24"/>
          <w:szCs w:val="24"/>
          <w:lang w:eastAsia="ko-KR"/>
        </w:rPr>
        <w:tab/>
      </w:r>
      <w:r w:rsidRPr="00E53C7A">
        <w:rPr>
          <w:rFonts w:ascii="Times New Roman" w:hAnsi="Times New Roman" w:cs="Times New Roman"/>
          <w:sz w:val="24"/>
          <w:szCs w:val="24"/>
          <w:lang w:eastAsia="ko-KR"/>
        </w:rPr>
        <w:tab/>
      </w:r>
      <w:r w:rsidR="006B3E42" w:rsidRPr="00E53C7A">
        <w:rPr>
          <w:rFonts w:ascii="Times New Roman" w:hAnsi="Times New Roman" w:cs="Times New Roman"/>
          <w:sz w:val="24"/>
          <w:szCs w:val="24"/>
          <w:lang w:eastAsia="ko-KR"/>
        </w:rPr>
        <w:tab/>
      </w:r>
      <w:r w:rsidR="00185984" w:rsidRPr="00E53C7A">
        <w:rPr>
          <w:rFonts w:ascii="Times New Roman" w:hAnsi="Times New Roman" w:cs="Times New Roman"/>
          <w:sz w:val="24"/>
          <w:szCs w:val="24"/>
          <w:lang w:eastAsia="ko-KR"/>
        </w:rPr>
        <w:tab/>
      </w:r>
      <w:r w:rsidR="00E53C7A">
        <w:rPr>
          <w:rFonts w:ascii="Times New Roman" w:hAnsi="Times New Roman" w:cs="Times New Roman"/>
          <w:sz w:val="24"/>
          <w:szCs w:val="24"/>
          <w:lang w:eastAsia="ko-KR"/>
        </w:rPr>
        <w:tab/>
      </w:r>
      <w:r w:rsidR="00B80C5C" w:rsidRPr="00E53C7A">
        <w:rPr>
          <w:rFonts w:ascii="Times New Roman" w:hAnsi="Times New Roman" w:cs="Times New Roman"/>
          <w:sz w:val="24"/>
          <w:szCs w:val="24"/>
          <w:lang w:eastAsia="ko-KR"/>
        </w:rPr>
        <w:t xml:space="preserve">  </w:t>
      </w:r>
      <w:r w:rsidR="00E53C7A">
        <w:rPr>
          <w:rFonts w:ascii="Times New Roman" w:hAnsi="Times New Roman" w:cs="Times New Roman"/>
          <w:sz w:val="24"/>
          <w:szCs w:val="24"/>
          <w:lang w:eastAsia="ko-KR"/>
        </w:rPr>
        <w:t xml:space="preserve"> </w:t>
      </w:r>
      <w:r w:rsidRPr="00E53C7A">
        <w:rPr>
          <w:rFonts w:ascii="Times New Roman" w:hAnsi="Times New Roman" w:cs="Times New Roman"/>
          <w:sz w:val="24"/>
          <w:szCs w:val="24"/>
          <w:lang w:eastAsia="ko-KR"/>
        </w:rPr>
        <w:t>Banque Nationale de Crédit</w:t>
      </w:r>
    </w:p>
    <w:p w:rsidR="0086463C" w:rsidRPr="00E53C7A" w:rsidRDefault="00FB2705" w:rsidP="00B65035">
      <w:pPr>
        <w:tabs>
          <w:tab w:val="left" w:pos="1440"/>
          <w:tab w:val="left" w:pos="1530"/>
        </w:tabs>
        <w:spacing w:after="0"/>
        <w:jc w:val="both"/>
        <w:rPr>
          <w:rFonts w:ascii="Times New Roman" w:hAnsi="Times New Roman" w:cs="Times New Roman"/>
          <w:sz w:val="24"/>
          <w:szCs w:val="24"/>
          <w:lang w:eastAsia="ko-KR"/>
        </w:rPr>
      </w:pPr>
      <w:r w:rsidRPr="00E53C7A">
        <w:rPr>
          <w:rFonts w:ascii="Times New Roman" w:hAnsi="Times New Roman" w:cs="Times New Roman"/>
          <w:sz w:val="24"/>
          <w:szCs w:val="24"/>
          <w:lang w:eastAsia="ko-KR"/>
        </w:rPr>
        <w:t>Edson JEAN-PIERRE</w:t>
      </w:r>
      <w:r w:rsidRPr="00E53C7A">
        <w:rPr>
          <w:rFonts w:ascii="Times New Roman" w:hAnsi="Times New Roman" w:cs="Times New Roman"/>
          <w:sz w:val="24"/>
          <w:szCs w:val="24"/>
          <w:lang w:eastAsia="ko-KR"/>
        </w:rPr>
        <w:tab/>
      </w:r>
      <w:r w:rsidRPr="00E53C7A">
        <w:rPr>
          <w:rFonts w:ascii="Times New Roman" w:hAnsi="Times New Roman" w:cs="Times New Roman"/>
          <w:sz w:val="24"/>
          <w:szCs w:val="24"/>
          <w:lang w:eastAsia="ko-KR"/>
        </w:rPr>
        <w:tab/>
      </w:r>
      <w:r w:rsidRPr="00E53C7A">
        <w:rPr>
          <w:rFonts w:ascii="Times New Roman" w:hAnsi="Times New Roman" w:cs="Times New Roman"/>
          <w:sz w:val="24"/>
          <w:szCs w:val="24"/>
          <w:lang w:eastAsia="ko-KR"/>
        </w:rPr>
        <w:tab/>
      </w:r>
      <w:r w:rsidR="00185984" w:rsidRPr="00E53C7A">
        <w:rPr>
          <w:rFonts w:ascii="Times New Roman" w:hAnsi="Times New Roman" w:cs="Times New Roman"/>
          <w:sz w:val="24"/>
          <w:szCs w:val="24"/>
          <w:lang w:eastAsia="ko-KR"/>
        </w:rPr>
        <w:tab/>
      </w:r>
      <w:r w:rsidR="00B80C5C" w:rsidRPr="00E53C7A">
        <w:rPr>
          <w:rFonts w:ascii="Times New Roman" w:hAnsi="Times New Roman" w:cs="Times New Roman"/>
          <w:sz w:val="24"/>
          <w:szCs w:val="24"/>
          <w:lang w:eastAsia="ko-KR"/>
        </w:rPr>
        <w:t xml:space="preserve"> </w:t>
      </w:r>
      <w:r w:rsidR="00E53C7A">
        <w:rPr>
          <w:rFonts w:ascii="Times New Roman" w:hAnsi="Times New Roman" w:cs="Times New Roman"/>
          <w:sz w:val="24"/>
          <w:szCs w:val="24"/>
          <w:lang w:eastAsia="ko-KR"/>
        </w:rPr>
        <w:tab/>
      </w:r>
      <w:r w:rsidR="00E53C7A">
        <w:rPr>
          <w:rFonts w:ascii="Times New Roman" w:hAnsi="Times New Roman" w:cs="Times New Roman"/>
          <w:sz w:val="24"/>
          <w:szCs w:val="24"/>
          <w:lang w:eastAsia="ko-KR"/>
        </w:rPr>
        <w:tab/>
        <w:t xml:space="preserve"> </w:t>
      </w:r>
      <w:r w:rsidR="00B80C5C" w:rsidRPr="00E53C7A">
        <w:rPr>
          <w:rFonts w:ascii="Times New Roman" w:hAnsi="Times New Roman" w:cs="Times New Roman"/>
          <w:sz w:val="24"/>
          <w:szCs w:val="24"/>
          <w:lang w:eastAsia="ko-KR"/>
        </w:rPr>
        <w:t xml:space="preserve"> </w:t>
      </w:r>
      <w:r w:rsidR="00E53C7A">
        <w:rPr>
          <w:rFonts w:ascii="Times New Roman" w:hAnsi="Times New Roman" w:cs="Times New Roman"/>
          <w:sz w:val="24"/>
          <w:szCs w:val="24"/>
          <w:lang w:eastAsia="ko-KR"/>
        </w:rPr>
        <w:t xml:space="preserve"> </w:t>
      </w:r>
      <w:r w:rsidRPr="00E53C7A">
        <w:rPr>
          <w:rFonts w:ascii="Times New Roman" w:hAnsi="Times New Roman" w:cs="Times New Roman"/>
          <w:sz w:val="24"/>
          <w:szCs w:val="24"/>
          <w:lang w:eastAsia="ko-KR"/>
        </w:rPr>
        <w:t>Banque Nationale de Crédit</w:t>
      </w:r>
    </w:p>
    <w:p w:rsidR="003D00F8" w:rsidRPr="00E53C7A" w:rsidRDefault="00FB2705" w:rsidP="00B65035">
      <w:pPr>
        <w:tabs>
          <w:tab w:val="left" w:pos="1440"/>
          <w:tab w:val="left" w:pos="1530"/>
        </w:tabs>
        <w:spacing w:after="0"/>
        <w:jc w:val="both"/>
        <w:rPr>
          <w:rFonts w:ascii="Times New Roman" w:hAnsi="Times New Roman" w:cs="Times New Roman"/>
          <w:sz w:val="24"/>
          <w:szCs w:val="24"/>
          <w:lang w:eastAsia="ko-KR"/>
        </w:rPr>
      </w:pPr>
      <w:r w:rsidRPr="00E53C7A">
        <w:rPr>
          <w:rFonts w:ascii="Times New Roman" w:hAnsi="Times New Roman" w:cs="Times New Roman"/>
          <w:sz w:val="24"/>
          <w:szCs w:val="24"/>
          <w:lang w:eastAsia="ko-KR"/>
        </w:rPr>
        <w:t>Marie Renée SEGUY</w:t>
      </w:r>
      <w:r w:rsidR="00185984" w:rsidRPr="00E53C7A">
        <w:rPr>
          <w:rFonts w:ascii="Times New Roman" w:hAnsi="Times New Roman" w:cs="Times New Roman"/>
          <w:sz w:val="24"/>
          <w:szCs w:val="24"/>
          <w:lang w:eastAsia="ko-KR"/>
        </w:rPr>
        <w:t xml:space="preserve"> </w:t>
      </w:r>
      <w:r w:rsidR="00944C49" w:rsidRPr="00E53C7A">
        <w:rPr>
          <w:rFonts w:ascii="Times New Roman" w:hAnsi="Times New Roman" w:cs="Times New Roman"/>
          <w:sz w:val="24"/>
          <w:szCs w:val="24"/>
          <w:lang w:eastAsia="ko-KR"/>
        </w:rPr>
        <w:t xml:space="preserve"> </w:t>
      </w:r>
      <w:r w:rsidR="00185984" w:rsidRPr="00E53C7A">
        <w:rPr>
          <w:rFonts w:ascii="Times New Roman" w:hAnsi="Times New Roman" w:cs="Times New Roman"/>
          <w:b/>
          <w:sz w:val="24"/>
          <w:szCs w:val="24"/>
          <w:lang w:eastAsia="ko-KR"/>
        </w:rPr>
        <w:t>(MENTION : ASSEZ BIEN)</w:t>
      </w:r>
      <w:r w:rsidRPr="00E53C7A">
        <w:rPr>
          <w:rFonts w:ascii="Times New Roman" w:hAnsi="Times New Roman" w:cs="Times New Roman"/>
          <w:sz w:val="24"/>
          <w:szCs w:val="24"/>
          <w:lang w:eastAsia="ko-KR"/>
        </w:rPr>
        <w:tab/>
      </w:r>
      <w:r w:rsidR="00B80C5C" w:rsidRPr="00E53C7A">
        <w:rPr>
          <w:rFonts w:ascii="Times New Roman" w:hAnsi="Times New Roman" w:cs="Times New Roman"/>
          <w:sz w:val="24"/>
          <w:szCs w:val="24"/>
          <w:lang w:eastAsia="ko-KR"/>
        </w:rPr>
        <w:t xml:space="preserve">  </w:t>
      </w:r>
      <w:r w:rsidR="00E53C7A">
        <w:rPr>
          <w:rFonts w:ascii="Times New Roman" w:hAnsi="Times New Roman" w:cs="Times New Roman"/>
          <w:sz w:val="24"/>
          <w:szCs w:val="24"/>
          <w:lang w:eastAsia="ko-KR"/>
        </w:rPr>
        <w:t xml:space="preserve"> </w:t>
      </w:r>
      <w:r w:rsidRPr="00E53C7A">
        <w:rPr>
          <w:rFonts w:ascii="Times New Roman" w:hAnsi="Times New Roman" w:cs="Times New Roman"/>
          <w:sz w:val="24"/>
          <w:szCs w:val="24"/>
          <w:lang w:eastAsia="ko-KR"/>
        </w:rPr>
        <w:t>Banque Nationale de Crédit</w:t>
      </w:r>
      <w:r w:rsidR="006B3E42" w:rsidRPr="00E53C7A">
        <w:rPr>
          <w:rFonts w:ascii="Times New Roman" w:hAnsi="Times New Roman" w:cs="Times New Roman"/>
          <w:sz w:val="24"/>
          <w:szCs w:val="24"/>
          <w:lang w:eastAsia="ko-KR"/>
        </w:rPr>
        <w:t xml:space="preserve">    </w:t>
      </w:r>
    </w:p>
    <w:p w:rsidR="003D00F8" w:rsidRPr="00E53C7A" w:rsidRDefault="003D00F8" w:rsidP="00B65035">
      <w:pPr>
        <w:tabs>
          <w:tab w:val="left" w:pos="1440"/>
          <w:tab w:val="left" w:pos="1530"/>
        </w:tabs>
        <w:spacing w:after="0"/>
        <w:jc w:val="both"/>
        <w:rPr>
          <w:rFonts w:ascii="Times New Roman" w:hAnsi="Times New Roman" w:cs="Times New Roman"/>
          <w:sz w:val="24"/>
          <w:szCs w:val="24"/>
          <w:lang w:eastAsia="ko-KR"/>
        </w:rPr>
      </w:pPr>
      <w:r w:rsidRPr="00E53C7A">
        <w:rPr>
          <w:rFonts w:ascii="Times New Roman" w:hAnsi="Times New Roman" w:cs="Times New Roman"/>
          <w:sz w:val="24"/>
          <w:szCs w:val="24"/>
          <w:lang w:eastAsia="ko-KR"/>
        </w:rPr>
        <w:t xml:space="preserve">Grégory DUCLAIR </w:t>
      </w:r>
      <w:r w:rsidRPr="00E53C7A">
        <w:rPr>
          <w:rFonts w:ascii="Times New Roman" w:hAnsi="Times New Roman" w:cs="Times New Roman"/>
          <w:sz w:val="24"/>
          <w:szCs w:val="24"/>
          <w:lang w:eastAsia="ko-KR"/>
        </w:rPr>
        <w:tab/>
      </w:r>
      <w:r w:rsidRPr="00E53C7A">
        <w:rPr>
          <w:rFonts w:ascii="Times New Roman" w:hAnsi="Times New Roman" w:cs="Times New Roman"/>
          <w:sz w:val="24"/>
          <w:szCs w:val="24"/>
          <w:lang w:eastAsia="ko-KR"/>
        </w:rPr>
        <w:tab/>
      </w:r>
      <w:r w:rsidRPr="00E53C7A">
        <w:rPr>
          <w:rFonts w:ascii="Times New Roman" w:hAnsi="Times New Roman" w:cs="Times New Roman"/>
          <w:sz w:val="24"/>
          <w:szCs w:val="24"/>
          <w:lang w:eastAsia="ko-KR"/>
        </w:rPr>
        <w:tab/>
      </w:r>
      <w:r w:rsidRPr="00E53C7A">
        <w:rPr>
          <w:rFonts w:ascii="Times New Roman" w:hAnsi="Times New Roman" w:cs="Times New Roman"/>
          <w:sz w:val="24"/>
          <w:szCs w:val="24"/>
          <w:lang w:eastAsia="ko-KR"/>
        </w:rPr>
        <w:tab/>
      </w:r>
      <w:r w:rsidR="001A5F38" w:rsidRPr="00E53C7A">
        <w:rPr>
          <w:rFonts w:ascii="Times New Roman" w:hAnsi="Times New Roman" w:cs="Times New Roman"/>
          <w:sz w:val="24"/>
          <w:szCs w:val="24"/>
          <w:lang w:eastAsia="ko-KR"/>
        </w:rPr>
        <w:tab/>
      </w:r>
      <w:r w:rsidR="00E53C7A">
        <w:rPr>
          <w:rFonts w:ascii="Times New Roman" w:hAnsi="Times New Roman" w:cs="Times New Roman"/>
          <w:sz w:val="24"/>
          <w:szCs w:val="24"/>
          <w:lang w:eastAsia="ko-KR"/>
        </w:rPr>
        <w:tab/>
      </w:r>
      <w:r w:rsidR="00B80C5C" w:rsidRPr="00E53C7A">
        <w:rPr>
          <w:rFonts w:ascii="Times New Roman" w:hAnsi="Times New Roman" w:cs="Times New Roman"/>
          <w:sz w:val="24"/>
          <w:szCs w:val="24"/>
          <w:lang w:eastAsia="ko-KR"/>
        </w:rPr>
        <w:t xml:space="preserve">   </w:t>
      </w:r>
      <w:r w:rsidR="00353A6A">
        <w:rPr>
          <w:rFonts w:ascii="Times New Roman" w:hAnsi="Times New Roman" w:cs="Times New Roman"/>
          <w:sz w:val="24"/>
          <w:szCs w:val="24"/>
          <w:lang w:eastAsia="ko-KR"/>
        </w:rPr>
        <w:tab/>
      </w:r>
      <w:r w:rsidRPr="00E53C7A">
        <w:rPr>
          <w:rFonts w:ascii="Times New Roman" w:hAnsi="Times New Roman" w:cs="Times New Roman"/>
          <w:sz w:val="24"/>
          <w:szCs w:val="24"/>
          <w:lang w:eastAsia="ko-KR"/>
        </w:rPr>
        <w:t>SOGEBANK</w:t>
      </w:r>
      <w:r w:rsidRPr="00E53C7A">
        <w:rPr>
          <w:rFonts w:ascii="Times New Roman" w:hAnsi="Times New Roman" w:cs="Times New Roman"/>
          <w:sz w:val="24"/>
          <w:szCs w:val="24"/>
          <w:lang w:eastAsia="ko-KR"/>
        </w:rPr>
        <w:tab/>
      </w:r>
    </w:p>
    <w:p w:rsidR="003D00F8" w:rsidRPr="00E53C7A" w:rsidRDefault="005961B0" w:rsidP="00B65035">
      <w:pPr>
        <w:tabs>
          <w:tab w:val="left" w:pos="1440"/>
          <w:tab w:val="left" w:pos="1530"/>
        </w:tabs>
        <w:spacing w:after="0"/>
        <w:jc w:val="both"/>
        <w:rPr>
          <w:rFonts w:ascii="Times New Roman" w:hAnsi="Times New Roman" w:cs="Times New Roman"/>
          <w:sz w:val="24"/>
          <w:szCs w:val="24"/>
          <w:lang w:eastAsia="ko-KR"/>
        </w:rPr>
      </w:pPr>
      <w:r w:rsidRPr="00E53C7A">
        <w:rPr>
          <w:rFonts w:ascii="Times New Roman" w:hAnsi="Times New Roman" w:cs="Times New Roman"/>
          <w:sz w:val="24"/>
          <w:szCs w:val="24"/>
          <w:lang w:eastAsia="ko-KR"/>
        </w:rPr>
        <w:t>Fabienne JANNINI</w:t>
      </w:r>
      <w:r w:rsidRPr="00E53C7A">
        <w:rPr>
          <w:rFonts w:ascii="Times New Roman" w:hAnsi="Times New Roman" w:cs="Times New Roman"/>
          <w:sz w:val="24"/>
          <w:szCs w:val="24"/>
          <w:lang w:eastAsia="ko-KR"/>
        </w:rPr>
        <w:tab/>
      </w:r>
      <w:r w:rsidRPr="00E53C7A">
        <w:rPr>
          <w:rFonts w:ascii="Times New Roman" w:hAnsi="Times New Roman" w:cs="Times New Roman"/>
          <w:sz w:val="24"/>
          <w:szCs w:val="24"/>
          <w:lang w:eastAsia="ko-KR"/>
        </w:rPr>
        <w:tab/>
      </w:r>
      <w:r w:rsidRPr="00E53C7A">
        <w:rPr>
          <w:rFonts w:ascii="Times New Roman" w:hAnsi="Times New Roman" w:cs="Times New Roman"/>
          <w:sz w:val="24"/>
          <w:szCs w:val="24"/>
          <w:lang w:eastAsia="ko-KR"/>
        </w:rPr>
        <w:tab/>
      </w:r>
      <w:r w:rsidRPr="00E53C7A">
        <w:rPr>
          <w:rFonts w:ascii="Times New Roman" w:hAnsi="Times New Roman" w:cs="Times New Roman"/>
          <w:sz w:val="24"/>
          <w:szCs w:val="24"/>
          <w:lang w:eastAsia="ko-KR"/>
        </w:rPr>
        <w:tab/>
      </w:r>
      <w:r w:rsidR="001A5F38" w:rsidRPr="00E53C7A">
        <w:rPr>
          <w:rFonts w:ascii="Times New Roman" w:hAnsi="Times New Roman" w:cs="Times New Roman"/>
          <w:sz w:val="24"/>
          <w:szCs w:val="24"/>
          <w:lang w:eastAsia="ko-KR"/>
        </w:rPr>
        <w:tab/>
      </w:r>
      <w:r w:rsidR="00E53C7A">
        <w:rPr>
          <w:rFonts w:ascii="Times New Roman" w:hAnsi="Times New Roman" w:cs="Times New Roman"/>
          <w:sz w:val="24"/>
          <w:szCs w:val="24"/>
          <w:lang w:eastAsia="ko-KR"/>
        </w:rPr>
        <w:tab/>
      </w:r>
      <w:r w:rsidR="00944C49" w:rsidRPr="00E53C7A">
        <w:rPr>
          <w:rFonts w:ascii="Times New Roman" w:hAnsi="Times New Roman" w:cs="Times New Roman"/>
          <w:sz w:val="24"/>
          <w:szCs w:val="24"/>
          <w:lang w:eastAsia="ko-KR"/>
        </w:rPr>
        <w:t xml:space="preserve"> </w:t>
      </w:r>
      <w:r w:rsidR="00B80C5C" w:rsidRPr="00E53C7A">
        <w:rPr>
          <w:rFonts w:ascii="Times New Roman" w:hAnsi="Times New Roman" w:cs="Times New Roman"/>
          <w:sz w:val="24"/>
          <w:szCs w:val="24"/>
          <w:lang w:eastAsia="ko-KR"/>
        </w:rPr>
        <w:t xml:space="preserve"> </w:t>
      </w:r>
      <w:r w:rsidR="00353A6A">
        <w:rPr>
          <w:rFonts w:ascii="Times New Roman" w:hAnsi="Times New Roman" w:cs="Times New Roman"/>
          <w:sz w:val="24"/>
          <w:szCs w:val="24"/>
          <w:lang w:eastAsia="ko-KR"/>
        </w:rPr>
        <w:tab/>
      </w:r>
      <w:r w:rsidRPr="00E53C7A">
        <w:rPr>
          <w:rFonts w:ascii="Times New Roman" w:hAnsi="Times New Roman" w:cs="Times New Roman"/>
          <w:sz w:val="24"/>
          <w:szCs w:val="24"/>
          <w:lang w:eastAsia="ko-KR"/>
        </w:rPr>
        <w:t>SOGEBANK</w:t>
      </w:r>
    </w:p>
    <w:p w:rsidR="005961B0" w:rsidRPr="00E53C7A" w:rsidRDefault="004D274A" w:rsidP="00B65035">
      <w:pPr>
        <w:tabs>
          <w:tab w:val="left" w:pos="1440"/>
          <w:tab w:val="left" w:pos="1530"/>
        </w:tabs>
        <w:spacing w:after="0"/>
        <w:jc w:val="both"/>
        <w:rPr>
          <w:rFonts w:ascii="Times New Roman" w:hAnsi="Times New Roman" w:cs="Times New Roman"/>
          <w:sz w:val="24"/>
          <w:szCs w:val="24"/>
          <w:lang w:eastAsia="ko-KR"/>
        </w:rPr>
      </w:pPr>
      <w:r w:rsidRPr="00E53C7A">
        <w:rPr>
          <w:rFonts w:ascii="Times New Roman" w:hAnsi="Times New Roman" w:cs="Times New Roman"/>
          <w:sz w:val="24"/>
          <w:szCs w:val="24"/>
          <w:lang w:eastAsia="ko-KR"/>
        </w:rPr>
        <w:t>Faude JOSEPH</w:t>
      </w:r>
      <w:r w:rsidRPr="00E53C7A">
        <w:rPr>
          <w:rFonts w:ascii="Times New Roman" w:hAnsi="Times New Roman" w:cs="Times New Roman"/>
          <w:sz w:val="24"/>
          <w:szCs w:val="24"/>
          <w:lang w:eastAsia="ko-KR"/>
        </w:rPr>
        <w:tab/>
      </w:r>
      <w:r w:rsidRPr="00E53C7A">
        <w:rPr>
          <w:rFonts w:ascii="Times New Roman" w:hAnsi="Times New Roman" w:cs="Times New Roman"/>
          <w:sz w:val="24"/>
          <w:szCs w:val="24"/>
          <w:lang w:eastAsia="ko-KR"/>
        </w:rPr>
        <w:tab/>
      </w:r>
      <w:r w:rsidRPr="00E53C7A">
        <w:rPr>
          <w:rFonts w:ascii="Times New Roman" w:hAnsi="Times New Roman" w:cs="Times New Roman"/>
          <w:sz w:val="24"/>
          <w:szCs w:val="24"/>
          <w:lang w:eastAsia="ko-KR"/>
        </w:rPr>
        <w:tab/>
      </w:r>
      <w:r w:rsidRPr="00E53C7A">
        <w:rPr>
          <w:rFonts w:ascii="Times New Roman" w:hAnsi="Times New Roman" w:cs="Times New Roman"/>
          <w:sz w:val="24"/>
          <w:szCs w:val="24"/>
          <w:lang w:eastAsia="ko-KR"/>
        </w:rPr>
        <w:tab/>
      </w:r>
      <w:r w:rsidR="001A5F38" w:rsidRPr="00E53C7A">
        <w:rPr>
          <w:rFonts w:ascii="Times New Roman" w:hAnsi="Times New Roman" w:cs="Times New Roman"/>
          <w:sz w:val="24"/>
          <w:szCs w:val="24"/>
          <w:lang w:eastAsia="ko-KR"/>
        </w:rPr>
        <w:tab/>
      </w:r>
      <w:r w:rsidR="00B80C5C" w:rsidRPr="00E53C7A">
        <w:rPr>
          <w:rFonts w:ascii="Times New Roman" w:hAnsi="Times New Roman" w:cs="Times New Roman"/>
          <w:sz w:val="24"/>
          <w:szCs w:val="24"/>
          <w:lang w:eastAsia="ko-KR"/>
        </w:rPr>
        <w:t xml:space="preserve"> </w:t>
      </w:r>
      <w:r w:rsidR="00944C49" w:rsidRPr="00E53C7A">
        <w:rPr>
          <w:rFonts w:ascii="Times New Roman" w:hAnsi="Times New Roman" w:cs="Times New Roman"/>
          <w:sz w:val="24"/>
          <w:szCs w:val="24"/>
          <w:lang w:eastAsia="ko-KR"/>
        </w:rPr>
        <w:t xml:space="preserve">  </w:t>
      </w:r>
      <w:r w:rsidR="00E53C7A">
        <w:rPr>
          <w:rFonts w:ascii="Times New Roman" w:hAnsi="Times New Roman" w:cs="Times New Roman"/>
          <w:sz w:val="24"/>
          <w:szCs w:val="24"/>
          <w:lang w:eastAsia="ko-KR"/>
        </w:rPr>
        <w:tab/>
      </w:r>
      <w:r w:rsidR="00E53C7A">
        <w:rPr>
          <w:rFonts w:ascii="Times New Roman" w:hAnsi="Times New Roman" w:cs="Times New Roman"/>
          <w:sz w:val="24"/>
          <w:szCs w:val="24"/>
          <w:lang w:eastAsia="ko-KR"/>
        </w:rPr>
        <w:tab/>
        <w:t xml:space="preserve">   </w:t>
      </w:r>
      <w:r w:rsidR="00353A6A">
        <w:rPr>
          <w:rFonts w:ascii="Times New Roman" w:hAnsi="Times New Roman" w:cs="Times New Roman"/>
          <w:sz w:val="24"/>
          <w:szCs w:val="24"/>
          <w:lang w:eastAsia="ko-KR"/>
        </w:rPr>
        <w:tab/>
      </w:r>
      <w:r w:rsidRPr="00E53C7A">
        <w:rPr>
          <w:rFonts w:ascii="Times New Roman" w:hAnsi="Times New Roman" w:cs="Times New Roman"/>
          <w:sz w:val="24"/>
          <w:szCs w:val="24"/>
          <w:lang w:eastAsia="ko-KR"/>
        </w:rPr>
        <w:t>SOGEBANK</w:t>
      </w:r>
    </w:p>
    <w:p w:rsidR="001215CC" w:rsidRPr="00E53C7A" w:rsidRDefault="00D4154B" w:rsidP="00B65035">
      <w:pPr>
        <w:tabs>
          <w:tab w:val="left" w:pos="1440"/>
          <w:tab w:val="left" w:pos="1530"/>
        </w:tabs>
        <w:spacing w:after="0"/>
        <w:jc w:val="both"/>
        <w:rPr>
          <w:rFonts w:ascii="Times New Roman" w:hAnsi="Times New Roman" w:cs="Times New Roman"/>
          <w:sz w:val="24"/>
          <w:szCs w:val="24"/>
          <w:lang w:eastAsia="ko-KR"/>
        </w:rPr>
      </w:pPr>
      <w:r w:rsidRPr="00E53C7A">
        <w:rPr>
          <w:rFonts w:ascii="Times New Roman" w:hAnsi="Times New Roman" w:cs="Times New Roman"/>
          <w:sz w:val="24"/>
          <w:szCs w:val="24"/>
          <w:lang w:eastAsia="ko-KR"/>
        </w:rPr>
        <w:t>Fabienne MORIN</w:t>
      </w:r>
      <w:r w:rsidR="00185984" w:rsidRPr="00E53C7A">
        <w:rPr>
          <w:rFonts w:ascii="Times New Roman" w:hAnsi="Times New Roman" w:cs="Times New Roman"/>
          <w:sz w:val="24"/>
          <w:szCs w:val="24"/>
          <w:lang w:eastAsia="ko-KR"/>
        </w:rPr>
        <w:t xml:space="preserve"> </w:t>
      </w:r>
      <w:r w:rsidR="00944C49" w:rsidRPr="00E53C7A">
        <w:rPr>
          <w:rFonts w:ascii="Times New Roman" w:hAnsi="Times New Roman" w:cs="Times New Roman"/>
          <w:sz w:val="24"/>
          <w:szCs w:val="24"/>
          <w:lang w:eastAsia="ko-KR"/>
        </w:rPr>
        <w:t xml:space="preserve">   </w:t>
      </w:r>
      <w:r w:rsidR="00185984" w:rsidRPr="00E53C7A">
        <w:rPr>
          <w:rFonts w:ascii="Times New Roman" w:hAnsi="Times New Roman" w:cs="Times New Roman"/>
          <w:sz w:val="24"/>
          <w:szCs w:val="24"/>
          <w:lang w:eastAsia="ko-KR"/>
        </w:rPr>
        <w:t>(</w:t>
      </w:r>
      <w:r w:rsidR="00185984" w:rsidRPr="00E53C7A">
        <w:rPr>
          <w:rFonts w:ascii="Times New Roman" w:hAnsi="Times New Roman" w:cs="Times New Roman"/>
          <w:b/>
          <w:sz w:val="24"/>
          <w:szCs w:val="24"/>
          <w:lang w:eastAsia="ko-KR"/>
        </w:rPr>
        <w:t>MENTION : ASSEZ BIEN</w:t>
      </w:r>
      <w:r w:rsidR="00185984" w:rsidRPr="00E53C7A">
        <w:rPr>
          <w:rFonts w:ascii="Times New Roman" w:hAnsi="Times New Roman" w:cs="Times New Roman"/>
          <w:sz w:val="24"/>
          <w:szCs w:val="24"/>
          <w:lang w:eastAsia="ko-KR"/>
        </w:rPr>
        <w:t>)</w:t>
      </w:r>
      <w:r w:rsidR="00C15077" w:rsidRPr="00E53C7A">
        <w:rPr>
          <w:rFonts w:ascii="Times New Roman" w:hAnsi="Times New Roman" w:cs="Times New Roman"/>
          <w:sz w:val="24"/>
          <w:szCs w:val="24"/>
          <w:lang w:eastAsia="ko-KR"/>
        </w:rPr>
        <w:tab/>
      </w:r>
      <w:r w:rsidR="00944C49" w:rsidRPr="00E53C7A">
        <w:rPr>
          <w:rFonts w:ascii="Times New Roman" w:hAnsi="Times New Roman" w:cs="Times New Roman"/>
          <w:sz w:val="24"/>
          <w:szCs w:val="24"/>
          <w:lang w:eastAsia="ko-KR"/>
        </w:rPr>
        <w:t xml:space="preserve">   </w:t>
      </w:r>
      <w:r w:rsidR="00BF29ED">
        <w:rPr>
          <w:rFonts w:ascii="Times New Roman" w:hAnsi="Times New Roman" w:cs="Times New Roman"/>
          <w:sz w:val="24"/>
          <w:szCs w:val="24"/>
          <w:lang w:eastAsia="ko-KR"/>
        </w:rPr>
        <w:tab/>
        <w:t xml:space="preserve">   </w:t>
      </w:r>
      <w:r w:rsidR="00353A6A">
        <w:rPr>
          <w:rFonts w:ascii="Times New Roman" w:hAnsi="Times New Roman" w:cs="Times New Roman"/>
          <w:sz w:val="24"/>
          <w:szCs w:val="24"/>
          <w:lang w:eastAsia="ko-KR"/>
        </w:rPr>
        <w:tab/>
      </w:r>
      <w:r w:rsidRPr="00E53C7A">
        <w:rPr>
          <w:rFonts w:ascii="Times New Roman" w:hAnsi="Times New Roman" w:cs="Times New Roman"/>
          <w:sz w:val="24"/>
          <w:szCs w:val="24"/>
          <w:lang w:eastAsia="ko-KR"/>
        </w:rPr>
        <w:t>SOGEBANK</w:t>
      </w:r>
      <w:r w:rsidR="003D00F8" w:rsidRPr="00E53C7A">
        <w:rPr>
          <w:rFonts w:ascii="Times New Roman" w:hAnsi="Times New Roman" w:cs="Times New Roman"/>
          <w:sz w:val="24"/>
          <w:szCs w:val="24"/>
          <w:lang w:eastAsia="ko-KR"/>
        </w:rPr>
        <w:tab/>
      </w:r>
      <w:r w:rsidRPr="00E53C7A">
        <w:rPr>
          <w:rFonts w:ascii="Times New Roman" w:hAnsi="Times New Roman" w:cs="Times New Roman"/>
          <w:sz w:val="24"/>
          <w:szCs w:val="24"/>
          <w:lang w:eastAsia="ko-KR"/>
        </w:rPr>
        <w:tab/>
      </w:r>
      <w:r w:rsidR="00C15077" w:rsidRPr="00E53C7A">
        <w:rPr>
          <w:rFonts w:ascii="Times New Roman" w:hAnsi="Times New Roman" w:cs="Times New Roman"/>
          <w:sz w:val="24"/>
          <w:szCs w:val="24"/>
          <w:lang w:eastAsia="ko-KR"/>
        </w:rPr>
        <w:t xml:space="preserve">         </w:t>
      </w:r>
    </w:p>
    <w:p w:rsidR="008A36B8" w:rsidRPr="00E53C7A" w:rsidRDefault="008A36B8" w:rsidP="00F64242">
      <w:pPr>
        <w:tabs>
          <w:tab w:val="left" w:pos="1440"/>
          <w:tab w:val="left" w:pos="1530"/>
          <w:tab w:val="left" w:pos="4860"/>
          <w:tab w:val="left" w:pos="5040"/>
          <w:tab w:val="left" w:pos="6480"/>
          <w:tab w:val="left" w:pos="7470"/>
        </w:tabs>
        <w:spacing w:after="0"/>
        <w:jc w:val="both"/>
        <w:rPr>
          <w:rFonts w:ascii="Times New Roman" w:hAnsi="Times New Roman" w:cs="Times New Roman"/>
          <w:sz w:val="24"/>
          <w:szCs w:val="24"/>
          <w:lang w:eastAsia="ko-KR"/>
        </w:rPr>
      </w:pPr>
      <w:r w:rsidRPr="00E53C7A">
        <w:rPr>
          <w:rFonts w:ascii="Times New Roman" w:hAnsi="Times New Roman" w:cs="Times New Roman"/>
          <w:sz w:val="24"/>
          <w:szCs w:val="24"/>
          <w:lang w:eastAsia="ko-KR"/>
        </w:rPr>
        <w:t>Olrich MORIN</w:t>
      </w:r>
      <w:r w:rsidR="006B3E42" w:rsidRPr="00E53C7A">
        <w:rPr>
          <w:rFonts w:ascii="Times New Roman" w:hAnsi="Times New Roman" w:cs="Times New Roman"/>
          <w:sz w:val="24"/>
          <w:szCs w:val="24"/>
          <w:lang w:eastAsia="ko-KR"/>
        </w:rPr>
        <w:t xml:space="preserve">       </w:t>
      </w:r>
      <w:r w:rsidR="00944C49" w:rsidRPr="00E53C7A">
        <w:rPr>
          <w:rFonts w:ascii="Times New Roman" w:hAnsi="Times New Roman" w:cs="Times New Roman"/>
          <w:sz w:val="24"/>
          <w:szCs w:val="24"/>
          <w:lang w:eastAsia="ko-KR"/>
        </w:rPr>
        <w:t xml:space="preserve">  </w:t>
      </w:r>
      <w:r w:rsidR="00185984" w:rsidRPr="00E53C7A">
        <w:rPr>
          <w:rFonts w:ascii="Times New Roman" w:hAnsi="Times New Roman" w:cs="Times New Roman"/>
          <w:sz w:val="24"/>
          <w:szCs w:val="24"/>
          <w:lang w:eastAsia="ko-KR"/>
        </w:rPr>
        <w:t>(</w:t>
      </w:r>
      <w:r w:rsidR="00185984" w:rsidRPr="00E53C7A">
        <w:rPr>
          <w:rFonts w:ascii="Times New Roman" w:hAnsi="Times New Roman" w:cs="Times New Roman"/>
          <w:b/>
          <w:sz w:val="24"/>
          <w:szCs w:val="24"/>
          <w:lang w:eastAsia="ko-KR"/>
        </w:rPr>
        <w:t>MENTION : ASSEZ BIEN</w:t>
      </w:r>
      <w:r w:rsidR="00185984" w:rsidRPr="00E53C7A">
        <w:rPr>
          <w:rFonts w:ascii="Times New Roman" w:hAnsi="Times New Roman" w:cs="Times New Roman"/>
          <w:sz w:val="24"/>
          <w:szCs w:val="24"/>
          <w:lang w:eastAsia="ko-KR"/>
        </w:rPr>
        <w:t>)</w:t>
      </w:r>
      <w:r w:rsidR="001A5F38" w:rsidRPr="00E53C7A">
        <w:rPr>
          <w:rFonts w:ascii="Times New Roman" w:hAnsi="Times New Roman" w:cs="Times New Roman"/>
          <w:sz w:val="24"/>
          <w:szCs w:val="24"/>
          <w:lang w:eastAsia="ko-KR"/>
        </w:rPr>
        <w:t xml:space="preserve">   </w:t>
      </w:r>
      <w:r w:rsidR="00C15077" w:rsidRPr="00E53C7A">
        <w:rPr>
          <w:rFonts w:ascii="Times New Roman" w:hAnsi="Times New Roman" w:cs="Times New Roman"/>
          <w:sz w:val="24"/>
          <w:szCs w:val="24"/>
          <w:lang w:eastAsia="ko-KR"/>
        </w:rPr>
        <w:t xml:space="preserve">  </w:t>
      </w:r>
      <w:r w:rsidR="00C15077" w:rsidRPr="00E53C7A">
        <w:rPr>
          <w:rFonts w:ascii="Times New Roman" w:hAnsi="Times New Roman" w:cs="Times New Roman"/>
          <w:sz w:val="24"/>
          <w:szCs w:val="24"/>
        </w:rPr>
        <w:t xml:space="preserve"> </w:t>
      </w:r>
      <w:r w:rsidR="001A5F38" w:rsidRPr="00E53C7A">
        <w:rPr>
          <w:rFonts w:ascii="Times New Roman" w:hAnsi="Times New Roman" w:cs="Times New Roman"/>
          <w:sz w:val="24"/>
          <w:szCs w:val="24"/>
          <w:lang w:eastAsia="ko-KR"/>
        </w:rPr>
        <w:t xml:space="preserve">   </w:t>
      </w:r>
      <w:r w:rsidR="00BF29ED">
        <w:rPr>
          <w:rFonts w:ascii="Times New Roman" w:hAnsi="Times New Roman" w:cs="Times New Roman"/>
          <w:sz w:val="24"/>
          <w:szCs w:val="24"/>
          <w:lang w:eastAsia="ko-KR"/>
        </w:rPr>
        <w:t xml:space="preserve">      </w:t>
      </w:r>
      <w:r w:rsidR="00936C8C">
        <w:rPr>
          <w:rFonts w:ascii="Times New Roman" w:hAnsi="Times New Roman" w:cs="Times New Roman"/>
          <w:sz w:val="24"/>
          <w:szCs w:val="24"/>
          <w:lang w:eastAsia="ko-KR"/>
        </w:rPr>
        <w:t xml:space="preserve"> </w:t>
      </w:r>
      <w:r w:rsidR="00F64242">
        <w:rPr>
          <w:rFonts w:ascii="Times New Roman" w:hAnsi="Times New Roman" w:cs="Times New Roman"/>
          <w:sz w:val="24"/>
          <w:szCs w:val="24"/>
          <w:lang w:eastAsia="ko-KR"/>
        </w:rPr>
        <w:tab/>
      </w:r>
      <w:r w:rsidRPr="00E53C7A">
        <w:rPr>
          <w:rFonts w:ascii="Times New Roman" w:hAnsi="Times New Roman" w:cs="Times New Roman"/>
          <w:sz w:val="24"/>
          <w:szCs w:val="24"/>
          <w:lang w:eastAsia="ko-KR"/>
        </w:rPr>
        <w:t>SOGEBANK</w:t>
      </w:r>
      <w:r w:rsidR="00C15077" w:rsidRPr="00E53C7A">
        <w:rPr>
          <w:rFonts w:ascii="Times New Roman" w:hAnsi="Times New Roman" w:cs="Times New Roman"/>
          <w:sz w:val="24"/>
          <w:szCs w:val="24"/>
          <w:lang w:eastAsia="ko-KR"/>
        </w:rPr>
        <w:t xml:space="preserve">                      </w:t>
      </w:r>
      <w:r w:rsidR="001A5F38" w:rsidRPr="00E53C7A">
        <w:rPr>
          <w:rFonts w:ascii="Times New Roman" w:hAnsi="Times New Roman" w:cs="Times New Roman"/>
          <w:sz w:val="24"/>
          <w:szCs w:val="24"/>
          <w:lang w:eastAsia="ko-KR"/>
        </w:rPr>
        <w:t xml:space="preserve"> </w:t>
      </w:r>
    </w:p>
    <w:p w:rsidR="008A36B8" w:rsidRPr="00E53C7A" w:rsidRDefault="0073562D" w:rsidP="00B65035">
      <w:pPr>
        <w:tabs>
          <w:tab w:val="left" w:pos="1440"/>
          <w:tab w:val="left" w:pos="1530"/>
        </w:tabs>
        <w:spacing w:after="0"/>
        <w:jc w:val="both"/>
        <w:rPr>
          <w:rFonts w:ascii="Times New Roman" w:hAnsi="Times New Roman" w:cs="Times New Roman"/>
          <w:sz w:val="24"/>
          <w:szCs w:val="24"/>
          <w:lang w:eastAsia="ko-KR"/>
        </w:rPr>
      </w:pPr>
      <w:r w:rsidRPr="00E53C7A">
        <w:rPr>
          <w:rFonts w:ascii="Times New Roman" w:hAnsi="Times New Roman" w:cs="Times New Roman"/>
          <w:sz w:val="24"/>
          <w:szCs w:val="24"/>
          <w:lang w:eastAsia="ko-KR"/>
        </w:rPr>
        <w:t>Géraldine ALABRE</w:t>
      </w:r>
      <w:r w:rsidRPr="00E53C7A">
        <w:rPr>
          <w:rFonts w:ascii="Times New Roman" w:hAnsi="Times New Roman" w:cs="Times New Roman"/>
          <w:sz w:val="24"/>
          <w:szCs w:val="24"/>
          <w:lang w:eastAsia="ko-KR"/>
        </w:rPr>
        <w:tab/>
      </w:r>
      <w:r w:rsidRPr="00E53C7A">
        <w:rPr>
          <w:rFonts w:ascii="Times New Roman" w:hAnsi="Times New Roman" w:cs="Times New Roman"/>
          <w:sz w:val="24"/>
          <w:szCs w:val="24"/>
          <w:lang w:eastAsia="ko-KR"/>
        </w:rPr>
        <w:tab/>
      </w:r>
      <w:r w:rsidRPr="00E53C7A">
        <w:rPr>
          <w:rFonts w:ascii="Times New Roman" w:hAnsi="Times New Roman" w:cs="Times New Roman"/>
          <w:sz w:val="24"/>
          <w:szCs w:val="24"/>
          <w:lang w:eastAsia="ko-KR"/>
        </w:rPr>
        <w:tab/>
      </w:r>
      <w:r w:rsidRPr="00E53C7A">
        <w:rPr>
          <w:rFonts w:ascii="Times New Roman" w:hAnsi="Times New Roman" w:cs="Times New Roman"/>
          <w:sz w:val="24"/>
          <w:szCs w:val="24"/>
          <w:lang w:eastAsia="ko-KR"/>
        </w:rPr>
        <w:tab/>
      </w:r>
      <w:r w:rsidR="00C15077" w:rsidRPr="00E53C7A">
        <w:rPr>
          <w:rFonts w:ascii="Times New Roman" w:hAnsi="Times New Roman" w:cs="Times New Roman"/>
          <w:sz w:val="24"/>
          <w:szCs w:val="24"/>
          <w:lang w:eastAsia="ko-KR"/>
        </w:rPr>
        <w:tab/>
      </w:r>
      <w:r w:rsidR="00944C49" w:rsidRPr="00E53C7A">
        <w:rPr>
          <w:rFonts w:ascii="Times New Roman" w:hAnsi="Times New Roman" w:cs="Times New Roman"/>
          <w:sz w:val="24"/>
          <w:szCs w:val="24"/>
          <w:lang w:eastAsia="ko-KR"/>
        </w:rPr>
        <w:t xml:space="preserve">  </w:t>
      </w:r>
      <w:r w:rsidRPr="00E53C7A">
        <w:rPr>
          <w:rFonts w:ascii="Times New Roman" w:hAnsi="Times New Roman" w:cs="Times New Roman"/>
          <w:sz w:val="24"/>
          <w:szCs w:val="24"/>
          <w:lang w:eastAsia="ko-KR"/>
        </w:rPr>
        <w:t xml:space="preserve"> </w:t>
      </w:r>
      <w:r w:rsidR="00BF29ED">
        <w:rPr>
          <w:rFonts w:ascii="Times New Roman" w:hAnsi="Times New Roman" w:cs="Times New Roman"/>
          <w:sz w:val="24"/>
          <w:szCs w:val="24"/>
          <w:lang w:eastAsia="ko-KR"/>
        </w:rPr>
        <w:t xml:space="preserve">            </w:t>
      </w:r>
      <w:r w:rsidR="00F64242">
        <w:rPr>
          <w:rFonts w:ascii="Times New Roman" w:hAnsi="Times New Roman" w:cs="Times New Roman"/>
          <w:sz w:val="24"/>
          <w:szCs w:val="24"/>
          <w:lang w:eastAsia="ko-KR"/>
        </w:rPr>
        <w:tab/>
        <w:t xml:space="preserve">  </w:t>
      </w:r>
      <w:r w:rsidRPr="00E53C7A">
        <w:rPr>
          <w:rFonts w:ascii="Times New Roman" w:hAnsi="Times New Roman" w:cs="Times New Roman"/>
          <w:sz w:val="24"/>
          <w:szCs w:val="24"/>
          <w:lang w:eastAsia="ko-KR"/>
        </w:rPr>
        <w:t>UNIBANK</w:t>
      </w:r>
    </w:p>
    <w:p w:rsidR="0073562D" w:rsidRPr="00E53C7A" w:rsidRDefault="0073562D" w:rsidP="00B65035">
      <w:pPr>
        <w:tabs>
          <w:tab w:val="left" w:pos="1440"/>
          <w:tab w:val="left" w:pos="1530"/>
        </w:tabs>
        <w:spacing w:after="0"/>
        <w:jc w:val="both"/>
        <w:rPr>
          <w:rFonts w:ascii="Times New Roman" w:hAnsi="Times New Roman" w:cs="Times New Roman"/>
          <w:sz w:val="24"/>
          <w:szCs w:val="24"/>
          <w:lang w:eastAsia="ko-KR"/>
        </w:rPr>
      </w:pPr>
      <w:r w:rsidRPr="00E53C7A">
        <w:rPr>
          <w:rFonts w:ascii="Times New Roman" w:hAnsi="Times New Roman" w:cs="Times New Roman"/>
          <w:sz w:val="24"/>
          <w:szCs w:val="24"/>
          <w:lang w:eastAsia="ko-KR"/>
        </w:rPr>
        <w:t>Marie Carmel BERNABE</w:t>
      </w:r>
      <w:r w:rsidRPr="00E53C7A">
        <w:rPr>
          <w:rFonts w:ascii="Times New Roman" w:hAnsi="Times New Roman" w:cs="Times New Roman"/>
          <w:sz w:val="24"/>
          <w:szCs w:val="24"/>
          <w:lang w:eastAsia="ko-KR"/>
        </w:rPr>
        <w:tab/>
      </w:r>
      <w:r w:rsidRPr="00E53C7A">
        <w:rPr>
          <w:rFonts w:ascii="Times New Roman" w:hAnsi="Times New Roman" w:cs="Times New Roman"/>
          <w:sz w:val="24"/>
          <w:szCs w:val="24"/>
          <w:lang w:eastAsia="ko-KR"/>
        </w:rPr>
        <w:tab/>
      </w:r>
      <w:r w:rsidRPr="00E53C7A">
        <w:rPr>
          <w:rFonts w:ascii="Times New Roman" w:hAnsi="Times New Roman" w:cs="Times New Roman"/>
          <w:sz w:val="24"/>
          <w:szCs w:val="24"/>
          <w:lang w:eastAsia="ko-KR"/>
        </w:rPr>
        <w:tab/>
        <w:t xml:space="preserve"> </w:t>
      </w:r>
      <w:r w:rsidR="00C15077" w:rsidRPr="00E53C7A">
        <w:rPr>
          <w:rFonts w:ascii="Times New Roman" w:hAnsi="Times New Roman" w:cs="Times New Roman"/>
          <w:sz w:val="24"/>
          <w:szCs w:val="24"/>
          <w:lang w:eastAsia="ko-KR"/>
        </w:rPr>
        <w:tab/>
      </w:r>
      <w:r w:rsidR="00944C49" w:rsidRPr="00E53C7A">
        <w:rPr>
          <w:rFonts w:ascii="Times New Roman" w:hAnsi="Times New Roman" w:cs="Times New Roman"/>
          <w:sz w:val="24"/>
          <w:szCs w:val="24"/>
          <w:lang w:eastAsia="ko-KR"/>
        </w:rPr>
        <w:t xml:space="preserve">  </w:t>
      </w:r>
      <w:r w:rsidR="00BF29ED">
        <w:rPr>
          <w:rFonts w:ascii="Times New Roman" w:hAnsi="Times New Roman" w:cs="Times New Roman"/>
          <w:sz w:val="24"/>
          <w:szCs w:val="24"/>
          <w:lang w:eastAsia="ko-KR"/>
        </w:rPr>
        <w:t xml:space="preserve">            </w:t>
      </w:r>
      <w:r w:rsidR="00B80C5C" w:rsidRPr="00E53C7A">
        <w:rPr>
          <w:rFonts w:ascii="Times New Roman" w:hAnsi="Times New Roman" w:cs="Times New Roman"/>
          <w:sz w:val="24"/>
          <w:szCs w:val="24"/>
          <w:lang w:eastAsia="ko-KR"/>
        </w:rPr>
        <w:t xml:space="preserve"> </w:t>
      </w:r>
      <w:r w:rsidR="00F64242">
        <w:rPr>
          <w:rFonts w:ascii="Times New Roman" w:hAnsi="Times New Roman" w:cs="Times New Roman"/>
          <w:sz w:val="24"/>
          <w:szCs w:val="24"/>
          <w:lang w:eastAsia="ko-KR"/>
        </w:rPr>
        <w:tab/>
        <w:t xml:space="preserve">  </w:t>
      </w:r>
      <w:r w:rsidRPr="00E53C7A">
        <w:rPr>
          <w:rFonts w:ascii="Times New Roman" w:hAnsi="Times New Roman" w:cs="Times New Roman"/>
          <w:sz w:val="24"/>
          <w:szCs w:val="24"/>
          <w:lang w:eastAsia="ko-KR"/>
        </w:rPr>
        <w:t>UNIBANK</w:t>
      </w:r>
    </w:p>
    <w:p w:rsidR="0073562D" w:rsidRPr="00E53C7A" w:rsidRDefault="0073562D" w:rsidP="00B65035">
      <w:pPr>
        <w:tabs>
          <w:tab w:val="left" w:pos="1440"/>
          <w:tab w:val="left" w:pos="1530"/>
        </w:tabs>
        <w:spacing w:after="0"/>
        <w:jc w:val="both"/>
        <w:rPr>
          <w:rFonts w:ascii="Times New Roman" w:hAnsi="Times New Roman" w:cs="Times New Roman"/>
          <w:sz w:val="24"/>
          <w:szCs w:val="24"/>
          <w:lang w:eastAsia="ko-KR"/>
        </w:rPr>
      </w:pPr>
      <w:r w:rsidRPr="00E53C7A">
        <w:rPr>
          <w:rFonts w:ascii="Times New Roman" w:hAnsi="Times New Roman" w:cs="Times New Roman"/>
          <w:sz w:val="24"/>
          <w:szCs w:val="24"/>
          <w:lang w:eastAsia="ko-KR"/>
        </w:rPr>
        <w:t>S</w:t>
      </w:r>
      <w:r w:rsidR="008545BA" w:rsidRPr="00E53C7A">
        <w:rPr>
          <w:rFonts w:ascii="Times New Roman" w:hAnsi="Times New Roman" w:cs="Times New Roman"/>
          <w:sz w:val="24"/>
          <w:szCs w:val="24"/>
          <w:lang w:eastAsia="ko-KR"/>
        </w:rPr>
        <w:t>hell</w:t>
      </w:r>
      <w:r w:rsidR="00324A13" w:rsidRPr="00E53C7A">
        <w:rPr>
          <w:rFonts w:ascii="Times New Roman" w:hAnsi="Times New Roman" w:cs="Times New Roman"/>
          <w:sz w:val="24"/>
          <w:szCs w:val="24"/>
          <w:lang w:eastAsia="ko-KR"/>
        </w:rPr>
        <w:t>a</w:t>
      </w:r>
      <w:r w:rsidR="008545BA" w:rsidRPr="00E53C7A">
        <w:rPr>
          <w:rFonts w:ascii="Times New Roman" w:hAnsi="Times New Roman" w:cs="Times New Roman"/>
          <w:sz w:val="24"/>
          <w:szCs w:val="24"/>
          <w:lang w:eastAsia="ko-KR"/>
        </w:rPr>
        <w:t xml:space="preserve"> Ludia FLEURANTIN</w:t>
      </w:r>
      <w:r w:rsidR="008545BA" w:rsidRPr="00E53C7A">
        <w:rPr>
          <w:rFonts w:ascii="Times New Roman" w:hAnsi="Times New Roman" w:cs="Times New Roman"/>
          <w:sz w:val="24"/>
          <w:szCs w:val="24"/>
          <w:lang w:eastAsia="ko-KR"/>
        </w:rPr>
        <w:tab/>
      </w:r>
      <w:r w:rsidR="008545BA" w:rsidRPr="00E53C7A">
        <w:rPr>
          <w:rFonts w:ascii="Times New Roman" w:hAnsi="Times New Roman" w:cs="Times New Roman"/>
          <w:sz w:val="24"/>
          <w:szCs w:val="24"/>
          <w:lang w:eastAsia="ko-KR"/>
        </w:rPr>
        <w:tab/>
      </w:r>
      <w:r w:rsidR="001A5F38" w:rsidRPr="00E53C7A">
        <w:rPr>
          <w:rFonts w:ascii="Times New Roman" w:hAnsi="Times New Roman" w:cs="Times New Roman"/>
          <w:sz w:val="24"/>
          <w:szCs w:val="24"/>
          <w:lang w:eastAsia="ko-KR"/>
        </w:rPr>
        <w:t xml:space="preserve">         </w:t>
      </w:r>
      <w:r w:rsidR="008545BA" w:rsidRPr="00E53C7A">
        <w:rPr>
          <w:rFonts w:ascii="Times New Roman" w:hAnsi="Times New Roman" w:cs="Times New Roman"/>
          <w:sz w:val="24"/>
          <w:szCs w:val="24"/>
          <w:lang w:eastAsia="ko-KR"/>
        </w:rPr>
        <w:t xml:space="preserve"> </w:t>
      </w:r>
      <w:r w:rsidR="00C15077" w:rsidRPr="00E53C7A">
        <w:rPr>
          <w:rFonts w:ascii="Times New Roman" w:hAnsi="Times New Roman" w:cs="Times New Roman"/>
          <w:sz w:val="24"/>
          <w:szCs w:val="24"/>
          <w:lang w:eastAsia="ko-KR"/>
        </w:rPr>
        <w:tab/>
      </w:r>
      <w:r w:rsidR="00C15077" w:rsidRPr="00E53C7A">
        <w:rPr>
          <w:rFonts w:ascii="Times New Roman" w:hAnsi="Times New Roman" w:cs="Times New Roman"/>
          <w:sz w:val="24"/>
          <w:szCs w:val="24"/>
          <w:lang w:eastAsia="ko-KR"/>
        </w:rPr>
        <w:tab/>
      </w:r>
      <w:r w:rsidR="00944C49" w:rsidRPr="00E53C7A">
        <w:rPr>
          <w:rFonts w:ascii="Times New Roman" w:hAnsi="Times New Roman" w:cs="Times New Roman"/>
          <w:sz w:val="24"/>
          <w:szCs w:val="24"/>
          <w:lang w:eastAsia="ko-KR"/>
        </w:rPr>
        <w:t xml:space="preserve"> </w:t>
      </w:r>
      <w:r w:rsidR="00B80C5C" w:rsidRPr="00E53C7A">
        <w:rPr>
          <w:rFonts w:ascii="Times New Roman" w:hAnsi="Times New Roman" w:cs="Times New Roman"/>
          <w:sz w:val="24"/>
          <w:szCs w:val="24"/>
          <w:lang w:eastAsia="ko-KR"/>
        </w:rPr>
        <w:t xml:space="preserve"> </w:t>
      </w:r>
      <w:r w:rsidR="00AA4BC9" w:rsidRPr="00E53C7A">
        <w:rPr>
          <w:rFonts w:ascii="Times New Roman" w:hAnsi="Times New Roman" w:cs="Times New Roman"/>
          <w:sz w:val="24"/>
          <w:szCs w:val="24"/>
          <w:lang w:eastAsia="ko-KR"/>
        </w:rPr>
        <w:t xml:space="preserve"> </w:t>
      </w:r>
      <w:r w:rsidR="00BF29ED">
        <w:rPr>
          <w:rFonts w:ascii="Times New Roman" w:hAnsi="Times New Roman" w:cs="Times New Roman"/>
          <w:sz w:val="24"/>
          <w:szCs w:val="24"/>
          <w:lang w:eastAsia="ko-KR"/>
        </w:rPr>
        <w:t xml:space="preserve">            </w:t>
      </w:r>
      <w:r w:rsidR="00F64242">
        <w:rPr>
          <w:rFonts w:ascii="Times New Roman" w:hAnsi="Times New Roman" w:cs="Times New Roman"/>
          <w:sz w:val="24"/>
          <w:szCs w:val="24"/>
          <w:lang w:eastAsia="ko-KR"/>
        </w:rPr>
        <w:tab/>
        <w:t xml:space="preserve">  </w:t>
      </w:r>
      <w:r w:rsidR="008545BA" w:rsidRPr="00E53C7A">
        <w:rPr>
          <w:rFonts w:ascii="Times New Roman" w:hAnsi="Times New Roman" w:cs="Times New Roman"/>
          <w:sz w:val="24"/>
          <w:szCs w:val="24"/>
          <w:lang w:eastAsia="ko-KR"/>
        </w:rPr>
        <w:t>UNIBANK</w:t>
      </w:r>
    </w:p>
    <w:p w:rsidR="00EE5357" w:rsidRDefault="00EE5357" w:rsidP="00B65035">
      <w:pPr>
        <w:tabs>
          <w:tab w:val="left" w:pos="1440"/>
          <w:tab w:val="left" w:pos="1530"/>
        </w:tabs>
        <w:spacing w:after="0"/>
        <w:jc w:val="both"/>
        <w:rPr>
          <w:rFonts w:cs="Times New Roman"/>
          <w:sz w:val="28"/>
          <w:szCs w:val="28"/>
          <w:lang w:eastAsia="ko-KR"/>
        </w:rPr>
      </w:pPr>
    </w:p>
    <w:p w:rsidR="00EE5357" w:rsidRDefault="00EE5357" w:rsidP="00B65035">
      <w:pPr>
        <w:tabs>
          <w:tab w:val="left" w:pos="1440"/>
          <w:tab w:val="left" w:pos="1530"/>
        </w:tabs>
        <w:spacing w:after="0"/>
        <w:jc w:val="both"/>
        <w:rPr>
          <w:rFonts w:cs="Times New Roman"/>
          <w:sz w:val="28"/>
          <w:szCs w:val="28"/>
          <w:lang w:eastAsia="ko-KR"/>
        </w:rPr>
      </w:pPr>
    </w:p>
    <w:p w:rsidR="00EE5357" w:rsidRDefault="00EE5357" w:rsidP="00B65035">
      <w:pPr>
        <w:tabs>
          <w:tab w:val="left" w:pos="1440"/>
          <w:tab w:val="left" w:pos="1530"/>
        </w:tabs>
        <w:spacing w:after="0"/>
        <w:jc w:val="both"/>
        <w:rPr>
          <w:rFonts w:cs="Times New Roman"/>
          <w:sz w:val="28"/>
          <w:szCs w:val="28"/>
          <w:lang w:eastAsia="ko-KR"/>
        </w:rPr>
      </w:pPr>
    </w:p>
    <w:p w:rsidR="00EE5357" w:rsidRDefault="00EE5357" w:rsidP="00B65035">
      <w:pPr>
        <w:tabs>
          <w:tab w:val="left" w:pos="1440"/>
          <w:tab w:val="left" w:pos="1530"/>
        </w:tabs>
        <w:spacing w:after="0"/>
        <w:jc w:val="both"/>
        <w:rPr>
          <w:rFonts w:cs="Times New Roman"/>
          <w:sz w:val="28"/>
          <w:szCs w:val="28"/>
          <w:lang w:eastAsia="ko-KR"/>
        </w:rPr>
      </w:pPr>
    </w:p>
    <w:p w:rsidR="00EE5357" w:rsidRDefault="00EE5357" w:rsidP="00B65035">
      <w:pPr>
        <w:tabs>
          <w:tab w:val="left" w:pos="1440"/>
          <w:tab w:val="left" w:pos="1530"/>
        </w:tabs>
        <w:spacing w:after="0"/>
        <w:jc w:val="both"/>
        <w:rPr>
          <w:rFonts w:cs="Times New Roman"/>
          <w:sz w:val="28"/>
          <w:szCs w:val="28"/>
          <w:lang w:eastAsia="ko-KR"/>
        </w:rPr>
      </w:pPr>
    </w:p>
    <w:p w:rsidR="00EE5357" w:rsidRDefault="00EE5357" w:rsidP="00B65035">
      <w:pPr>
        <w:tabs>
          <w:tab w:val="left" w:pos="1440"/>
          <w:tab w:val="left" w:pos="1530"/>
        </w:tabs>
        <w:spacing w:after="0"/>
        <w:jc w:val="both"/>
        <w:rPr>
          <w:rFonts w:cs="Times New Roman"/>
          <w:sz w:val="28"/>
          <w:szCs w:val="28"/>
          <w:lang w:eastAsia="ko-KR"/>
        </w:rPr>
      </w:pPr>
    </w:p>
    <w:p w:rsidR="00EE5357" w:rsidRDefault="00EE5357" w:rsidP="00B65035">
      <w:pPr>
        <w:tabs>
          <w:tab w:val="left" w:pos="1440"/>
          <w:tab w:val="left" w:pos="1530"/>
        </w:tabs>
        <w:spacing w:after="0"/>
        <w:jc w:val="both"/>
        <w:rPr>
          <w:rFonts w:cs="Times New Roman"/>
          <w:sz w:val="28"/>
          <w:szCs w:val="28"/>
          <w:lang w:eastAsia="ko-KR"/>
        </w:rPr>
      </w:pPr>
    </w:p>
    <w:p w:rsidR="00EE5357" w:rsidRDefault="00EE5357" w:rsidP="00B65035">
      <w:pPr>
        <w:tabs>
          <w:tab w:val="left" w:pos="1440"/>
          <w:tab w:val="left" w:pos="1530"/>
        </w:tabs>
        <w:spacing w:after="0"/>
        <w:jc w:val="both"/>
        <w:rPr>
          <w:rFonts w:cs="Times New Roman"/>
          <w:sz w:val="28"/>
          <w:szCs w:val="28"/>
          <w:lang w:eastAsia="ko-KR"/>
        </w:rPr>
      </w:pPr>
    </w:p>
    <w:p w:rsidR="00EE5357" w:rsidRDefault="00EE5357" w:rsidP="00B65035">
      <w:pPr>
        <w:tabs>
          <w:tab w:val="left" w:pos="1440"/>
          <w:tab w:val="left" w:pos="1530"/>
        </w:tabs>
        <w:spacing w:after="0"/>
        <w:jc w:val="both"/>
        <w:rPr>
          <w:rFonts w:cs="Times New Roman"/>
          <w:sz w:val="28"/>
          <w:szCs w:val="28"/>
          <w:lang w:eastAsia="ko-KR"/>
        </w:rPr>
      </w:pPr>
    </w:p>
    <w:p w:rsidR="00EE5357" w:rsidRDefault="00EE5357" w:rsidP="00B65035">
      <w:pPr>
        <w:tabs>
          <w:tab w:val="left" w:pos="1440"/>
          <w:tab w:val="left" w:pos="1530"/>
        </w:tabs>
        <w:spacing w:after="0"/>
        <w:jc w:val="both"/>
        <w:rPr>
          <w:rFonts w:cs="Times New Roman"/>
          <w:sz w:val="28"/>
          <w:szCs w:val="28"/>
          <w:lang w:eastAsia="ko-KR"/>
        </w:rPr>
      </w:pPr>
    </w:p>
    <w:p w:rsidR="00EE5357" w:rsidRDefault="00EE5357" w:rsidP="00B65035">
      <w:pPr>
        <w:tabs>
          <w:tab w:val="left" w:pos="1440"/>
          <w:tab w:val="left" w:pos="1530"/>
        </w:tabs>
        <w:spacing w:after="0"/>
        <w:jc w:val="both"/>
        <w:rPr>
          <w:rFonts w:cs="Times New Roman"/>
          <w:sz w:val="28"/>
          <w:szCs w:val="28"/>
          <w:lang w:eastAsia="ko-KR"/>
        </w:rPr>
      </w:pPr>
    </w:p>
    <w:p w:rsidR="00EE5357" w:rsidRDefault="00EE5357" w:rsidP="00B65035">
      <w:pPr>
        <w:tabs>
          <w:tab w:val="left" w:pos="1440"/>
          <w:tab w:val="left" w:pos="1530"/>
        </w:tabs>
        <w:spacing w:after="0"/>
        <w:jc w:val="both"/>
        <w:rPr>
          <w:rFonts w:cs="Times New Roman"/>
          <w:sz w:val="28"/>
          <w:szCs w:val="28"/>
          <w:lang w:eastAsia="ko-KR"/>
        </w:rPr>
      </w:pPr>
    </w:p>
    <w:p w:rsidR="00EE5357" w:rsidRDefault="00EE5357" w:rsidP="00B65035">
      <w:pPr>
        <w:tabs>
          <w:tab w:val="left" w:pos="1440"/>
          <w:tab w:val="left" w:pos="1530"/>
        </w:tabs>
        <w:spacing w:after="0"/>
        <w:jc w:val="both"/>
        <w:rPr>
          <w:rFonts w:cs="Times New Roman"/>
          <w:sz w:val="28"/>
          <w:szCs w:val="28"/>
          <w:lang w:eastAsia="ko-KR"/>
        </w:rPr>
      </w:pPr>
    </w:p>
    <w:p w:rsidR="00EE5357" w:rsidRDefault="00EE5357" w:rsidP="00B65035">
      <w:pPr>
        <w:tabs>
          <w:tab w:val="left" w:pos="1440"/>
          <w:tab w:val="left" w:pos="1530"/>
        </w:tabs>
        <w:spacing w:after="0"/>
        <w:jc w:val="both"/>
        <w:rPr>
          <w:rFonts w:cs="Times New Roman"/>
          <w:sz w:val="28"/>
          <w:szCs w:val="28"/>
          <w:lang w:eastAsia="ko-KR"/>
        </w:rPr>
      </w:pPr>
    </w:p>
    <w:p w:rsidR="00EE5357" w:rsidRDefault="00EE5357" w:rsidP="00B65035">
      <w:pPr>
        <w:tabs>
          <w:tab w:val="left" w:pos="1440"/>
          <w:tab w:val="left" w:pos="1530"/>
        </w:tabs>
        <w:spacing w:after="0"/>
        <w:jc w:val="both"/>
        <w:rPr>
          <w:rFonts w:cs="Times New Roman"/>
          <w:sz w:val="28"/>
          <w:szCs w:val="28"/>
          <w:lang w:eastAsia="ko-KR"/>
        </w:rPr>
      </w:pPr>
    </w:p>
    <w:p w:rsidR="00432954" w:rsidRDefault="00432954" w:rsidP="00B65035">
      <w:pPr>
        <w:tabs>
          <w:tab w:val="left" w:pos="1440"/>
          <w:tab w:val="left" w:pos="1530"/>
        </w:tabs>
        <w:spacing w:after="0"/>
        <w:jc w:val="both"/>
        <w:rPr>
          <w:rFonts w:cs="Times New Roman"/>
          <w:sz w:val="28"/>
          <w:szCs w:val="28"/>
          <w:lang w:eastAsia="ko-KR"/>
        </w:rPr>
      </w:pPr>
    </w:p>
    <w:p w:rsidR="00432954" w:rsidRDefault="00432954" w:rsidP="00B65035">
      <w:pPr>
        <w:tabs>
          <w:tab w:val="left" w:pos="1440"/>
          <w:tab w:val="left" w:pos="1530"/>
        </w:tabs>
        <w:spacing w:after="0"/>
        <w:jc w:val="both"/>
        <w:rPr>
          <w:rFonts w:cs="Times New Roman"/>
          <w:sz w:val="28"/>
          <w:szCs w:val="28"/>
          <w:lang w:eastAsia="ko-KR"/>
        </w:rPr>
      </w:pPr>
    </w:p>
    <w:p w:rsidR="00EE5357" w:rsidRDefault="00EE5357" w:rsidP="00B65035">
      <w:pPr>
        <w:tabs>
          <w:tab w:val="left" w:pos="1440"/>
          <w:tab w:val="left" w:pos="1530"/>
        </w:tabs>
        <w:spacing w:after="0"/>
        <w:jc w:val="both"/>
        <w:rPr>
          <w:rFonts w:cs="Times New Roman"/>
          <w:sz w:val="28"/>
          <w:szCs w:val="28"/>
          <w:lang w:eastAsia="ko-KR"/>
        </w:rPr>
      </w:pPr>
      <w:r w:rsidRPr="00432954">
        <w:rPr>
          <w:rFonts w:cs="Times New Roman"/>
          <w:b/>
          <w:sz w:val="28"/>
          <w:szCs w:val="28"/>
          <w:lang w:eastAsia="ko-KR"/>
        </w:rPr>
        <w:t xml:space="preserve">VIII)  </w:t>
      </w:r>
      <w:r w:rsidRPr="00432954">
        <w:rPr>
          <w:rFonts w:cs="Times New Roman"/>
          <w:b/>
          <w:sz w:val="28"/>
          <w:szCs w:val="28"/>
          <w:u w:val="single"/>
          <w:lang w:eastAsia="ko-KR"/>
        </w:rPr>
        <w:t>Notes aux Etats Financiers</w:t>
      </w:r>
    </w:p>
    <w:p w:rsidR="001A7082" w:rsidRDefault="001A7082" w:rsidP="001A7082">
      <w:pPr>
        <w:jc w:val="both"/>
        <w:rPr>
          <w:rFonts w:ascii="Times New Roman" w:hAnsi="Times New Roman" w:cs="Times New Roman"/>
          <w:b/>
          <w:sz w:val="24"/>
          <w:szCs w:val="24"/>
        </w:rPr>
      </w:pPr>
    </w:p>
    <w:p w:rsidR="001A7082" w:rsidRPr="00F80018" w:rsidRDefault="001A7082" w:rsidP="001A7082">
      <w:pPr>
        <w:jc w:val="both"/>
        <w:rPr>
          <w:rFonts w:ascii="Times New Roman" w:hAnsi="Times New Roman" w:cs="Times New Roman"/>
          <w:b/>
          <w:sz w:val="24"/>
          <w:szCs w:val="24"/>
        </w:rPr>
      </w:pPr>
      <w:r w:rsidRPr="00F80018">
        <w:rPr>
          <w:rFonts w:ascii="Times New Roman" w:hAnsi="Times New Roman" w:cs="Times New Roman"/>
          <w:b/>
          <w:sz w:val="24"/>
          <w:szCs w:val="24"/>
        </w:rPr>
        <w:t>REVENUS</w:t>
      </w:r>
    </w:p>
    <w:p w:rsidR="001A7082" w:rsidRPr="00F80018" w:rsidRDefault="001A7082" w:rsidP="001A7082">
      <w:pPr>
        <w:jc w:val="both"/>
        <w:rPr>
          <w:rFonts w:ascii="Times New Roman" w:hAnsi="Times New Roman" w:cs="Times New Roman"/>
          <w:sz w:val="24"/>
          <w:szCs w:val="24"/>
        </w:rPr>
      </w:pPr>
      <w:r w:rsidRPr="00F80018">
        <w:rPr>
          <w:rFonts w:ascii="Times New Roman" w:hAnsi="Times New Roman" w:cs="Times New Roman"/>
          <w:sz w:val="24"/>
          <w:szCs w:val="24"/>
        </w:rPr>
        <w:t>Le Budget de l’exercice 2012-2013 a été exécuté dans le respect des prévisions établies en début d’année.</w:t>
      </w:r>
    </w:p>
    <w:p w:rsidR="001A7082" w:rsidRPr="00F80018" w:rsidRDefault="001A7082" w:rsidP="001A7082">
      <w:pPr>
        <w:jc w:val="both"/>
        <w:rPr>
          <w:rFonts w:ascii="Times New Roman" w:hAnsi="Times New Roman" w:cs="Times New Roman"/>
          <w:sz w:val="24"/>
          <w:szCs w:val="24"/>
        </w:rPr>
      </w:pPr>
      <w:r w:rsidRPr="00F80018">
        <w:rPr>
          <w:rFonts w:ascii="Times New Roman" w:hAnsi="Times New Roman" w:cs="Times New Roman"/>
          <w:sz w:val="24"/>
          <w:szCs w:val="24"/>
        </w:rPr>
        <w:t>Tous les membres ont payé leur cotisation trimestrielle de Gdes140.000.-. Le montant collecté pour l’année budgétaire est de Gdes5.040.000.-.</w:t>
      </w:r>
    </w:p>
    <w:p w:rsidR="001A7082" w:rsidRPr="00F80018" w:rsidRDefault="001A7082" w:rsidP="001A7082">
      <w:pPr>
        <w:jc w:val="both"/>
        <w:rPr>
          <w:rFonts w:ascii="Times New Roman" w:hAnsi="Times New Roman" w:cs="Times New Roman"/>
          <w:sz w:val="24"/>
          <w:szCs w:val="24"/>
        </w:rPr>
      </w:pPr>
      <w:r w:rsidRPr="00F80018">
        <w:rPr>
          <w:rFonts w:ascii="Times New Roman" w:hAnsi="Times New Roman" w:cs="Times New Roman"/>
          <w:sz w:val="24"/>
          <w:szCs w:val="24"/>
        </w:rPr>
        <w:t>Les services aux membres, particulièrement les Cours de Formation, constituent la seconde source de revenus de l’Association avec des rentrées de l’ordre de Gdes736.138.-.</w:t>
      </w:r>
      <w:r>
        <w:rPr>
          <w:rFonts w:ascii="Times New Roman" w:hAnsi="Times New Roman" w:cs="Times New Roman"/>
          <w:sz w:val="24"/>
          <w:szCs w:val="24"/>
        </w:rPr>
        <w:t xml:space="preserve"> </w:t>
      </w:r>
      <w:r w:rsidRPr="00F80018">
        <w:rPr>
          <w:rFonts w:ascii="Times New Roman" w:hAnsi="Times New Roman" w:cs="Times New Roman"/>
          <w:sz w:val="24"/>
          <w:szCs w:val="24"/>
        </w:rPr>
        <w:t>C’est la principale rentrée de devises de l’APB, estimée à EUROS12.800.- par année ou son équivalent en dollars US$17.280.-.</w:t>
      </w:r>
    </w:p>
    <w:p w:rsidR="001A7082" w:rsidRPr="00F80018" w:rsidRDefault="001A7082" w:rsidP="001A7082">
      <w:pPr>
        <w:jc w:val="both"/>
        <w:rPr>
          <w:rFonts w:ascii="Times New Roman" w:hAnsi="Times New Roman" w:cs="Times New Roman"/>
          <w:sz w:val="24"/>
          <w:szCs w:val="24"/>
        </w:rPr>
      </w:pPr>
      <w:r w:rsidRPr="00F80018">
        <w:rPr>
          <w:rFonts w:ascii="Times New Roman" w:hAnsi="Times New Roman" w:cs="Times New Roman"/>
          <w:sz w:val="24"/>
          <w:szCs w:val="24"/>
        </w:rPr>
        <w:t>La contribution au Forum du Secteur Privé est supportée par les membres qui ont cotisé chacun à  hauteur de US$778.-. La contributi</w:t>
      </w:r>
      <w:r w:rsidR="002833A0">
        <w:rPr>
          <w:rFonts w:ascii="Times New Roman" w:hAnsi="Times New Roman" w:cs="Times New Roman"/>
          <w:sz w:val="24"/>
          <w:szCs w:val="24"/>
        </w:rPr>
        <w:t xml:space="preserve">on au Forum est de US$ 7.000 </w:t>
      </w:r>
      <w:r w:rsidRPr="00F80018">
        <w:rPr>
          <w:rFonts w:ascii="Times New Roman" w:hAnsi="Times New Roman" w:cs="Times New Roman"/>
          <w:sz w:val="24"/>
          <w:szCs w:val="24"/>
        </w:rPr>
        <w:t>pour l’année.</w:t>
      </w:r>
    </w:p>
    <w:p w:rsidR="001A7082" w:rsidRPr="00F80018" w:rsidRDefault="001A7082" w:rsidP="001A7082">
      <w:pPr>
        <w:jc w:val="both"/>
        <w:rPr>
          <w:rFonts w:ascii="Times New Roman" w:hAnsi="Times New Roman" w:cs="Times New Roman"/>
          <w:sz w:val="24"/>
          <w:szCs w:val="24"/>
        </w:rPr>
      </w:pPr>
      <w:r w:rsidRPr="00F80018">
        <w:rPr>
          <w:rFonts w:ascii="Times New Roman" w:hAnsi="Times New Roman" w:cs="Times New Roman"/>
          <w:sz w:val="24"/>
          <w:szCs w:val="24"/>
        </w:rPr>
        <w:t>L’organisation de la fête traditionnelle de fin d’année a été supportée par les membres qui ont remboursé Gdes138.711.-.</w:t>
      </w:r>
    </w:p>
    <w:p w:rsidR="001A7082" w:rsidRPr="00F80018" w:rsidRDefault="001A7082" w:rsidP="001A7082">
      <w:pPr>
        <w:jc w:val="both"/>
        <w:rPr>
          <w:rFonts w:ascii="Times New Roman" w:hAnsi="Times New Roman" w:cs="Times New Roman"/>
          <w:sz w:val="24"/>
          <w:szCs w:val="24"/>
        </w:rPr>
      </w:pPr>
      <w:r w:rsidRPr="00F80018">
        <w:rPr>
          <w:rFonts w:ascii="Times New Roman" w:hAnsi="Times New Roman" w:cs="Times New Roman"/>
          <w:sz w:val="24"/>
          <w:szCs w:val="24"/>
        </w:rPr>
        <w:t>Des Revenus Exceptionnels sont venus de la hausse du taux de change.</w:t>
      </w:r>
    </w:p>
    <w:p w:rsidR="001A7082" w:rsidRPr="00F80018" w:rsidRDefault="001A7082" w:rsidP="001A7082">
      <w:pPr>
        <w:jc w:val="both"/>
        <w:rPr>
          <w:rFonts w:ascii="Times New Roman" w:hAnsi="Times New Roman" w:cs="Times New Roman"/>
          <w:sz w:val="24"/>
          <w:szCs w:val="24"/>
        </w:rPr>
      </w:pPr>
      <w:r w:rsidRPr="00F80018">
        <w:rPr>
          <w:rFonts w:ascii="Times New Roman" w:hAnsi="Times New Roman" w:cs="Times New Roman"/>
          <w:sz w:val="24"/>
          <w:szCs w:val="24"/>
        </w:rPr>
        <w:t xml:space="preserve">Le taux de référence </w:t>
      </w:r>
      <w:r>
        <w:rPr>
          <w:rFonts w:ascii="Times New Roman" w:hAnsi="Times New Roman" w:cs="Times New Roman"/>
          <w:sz w:val="24"/>
          <w:szCs w:val="24"/>
        </w:rPr>
        <w:t>de la gourde est passé de Gdes42</w:t>
      </w:r>
      <w:r w:rsidRPr="00F80018">
        <w:rPr>
          <w:rFonts w:ascii="Times New Roman" w:hAnsi="Times New Roman" w:cs="Times New Roman"/>
          <w:sz w:val="24"/>
          <w:szCs w:val="24"/>
        </w:rPr>
        <w:t>.25</w:t>
      </w:r>
      <w:r>
        <w:rPr>
          <w:rFonts w:ascii="Times New Roman" w:hAnsi="Times New Roman" w:cs="Times New Roman"/>
          <w:sz w:val="24"/>
          <w:szCs w:val="24"/>
        </w:rPr>
        <w:t>25</w:t>
      </w:r>
      <w:r w:rsidRPr="00F80018">
        <w:rPr>
          <w:rFonts w:ascii="Times New Roman" w:hAnsi="Times New Roman" w:cs="Times New Roman"/>
          <w:sz w:val="24"/>
          <w:szCs w:val="24"/>
        </w:rPr>
        <w:t xml:space="preserve"> en septembre 2012 à Gdes43.74</w:t>
      </w:r>
      <w:r>
        <w:rPr>
          <w:rFonts w:ascii="Times New Roman" w:hAnsi="Times New Roman" w:cs="Times New Roman"/>
          <w:sz w:val="24"/>
          <w:szCs w:val="24"/>
        </w:rPr>
        <w:t>13</w:t>
      </w:r>
      <w:r w:rsidRPr="00F80018">
        <w:rPr>
          <w:rFonts w:ascii="Times New Roman" w:hAnsi="Times New Roman" w:cs="Times New Roman"/>
          <w:sz w:val="24"/>
          <w:szCs w:val="24"/>
        </w:rPr>
        <w:t xml:space="preserve"> en septembre 2013. Cette différence de Gdes1.48 a été appliquée sur les écarts entre deux années des comptes en dollars de l’Association, ce qui a permis d’avoir des gains de change de Gdes45.207.- pour l’année. </w:t>
      </w:r>
    </w:p>
    <w:p w:rsidR="001A7082" w:rsidRPr="00F80018" w:rsidRDefault="001A7082" w:rsidP="001A7082">
      <w:pPr>
        <w:jc w:val="both"/>
        <w:rPr>
          <w:rFonts w:ascii="Times New Roman" w:hAnsi="Times New Roman" w:cs="Times New Roman"/>
          <w:sz w:val="24"/>
          <w:szCs w:val="24"/>
        </w:rPr>
      </w:pPr>
      <w:r w:rsidRPr="00F80018">
        <w:rPr>
          <w:rFonts w:ascii="Times New Roman" w:hAnsi="Times New Roman" w:cs="Times New Roman"/>
          <w:sz w:val="24"/>
          <w:szCs w:val="24"/>
        </w:rPr>
        <w:t>En résumé, les revenus de l’APB pour l’exercice 2012-2013 s’élèvent Gdes6.261.270.-, répartis comme suit :</w:t>
      </w:r>
    </w:p>
    <w:p w:rsidR="001A7082" w:rsidRPr="00F80018" w:rsidRDefault="001A7082" w:rsidP="001A7082">
      <w:pPr>
        <w:pStyle w:val="ListParagraph"/>
        <w:numPr>
          <w:ilvl w:val="0"/>
          <w:numId w:val="14"/>
        </w:numPr>
        <w:jc w:val="both"/>
        <w:rPr>
          <w:rFonts w:ascii="Times New Roman" w:hAnsi="Times New Roman" w:cs="Times New Roman"/>
          <w:sz w:val="24"/>
          <w:szCs w:val="24"/>
        </w:rPr>
      </w:pPr>
      <w:r w:rsidRPr="00F80018">
        <w:rPr>
          <w:rFonts w:ascii="Times New Roman" w:hAnsi="Times New Roman" w:cs="Times New Roman"/>
          <w:sz w:val="24"/>
          <w:szCs w:val="24"/>
        </w:rPr>
        <w:t>Cotisations trimestrielles des membres</w:t>
      </w:r>
      <w:r w:rsidRPr="00F80018">
        <w:rPr>
          <w:rFonts w:ascii="Times New Roman" w:hAnsi="Times New Roman" w:cs="Times New Roman"/>
          <w:sz w:val="24"/>
          <w:szCs w:val="24"/>
        </w:rPr>
        <w:tab/>
        <w:t>80.5%</w:t>
      </w:r>
    </w:p>
    <w:p w:rsidR="001A7082" w:rsidRPr="00F80018" w:rsidRDefault="001A7082" w:rsidP="001A7082">
      <w:pPr>
        <w:pStyle w:val="ListParagraph"/>
        <w:numPr>
          <w:ilvl w:val="0"/>
          <w:numId w:val="14"/>
        </w:numPr>
        <w:jc w:val="both"/>
        <w:rPr>
          <w:rFonts w:ascii="Times New Roman" w:hAnsi="Times New Roman" w:cs="Times New Roman"/>
          <w:sz w:val="24"/>
          <w:szCs w:val="24"/>
        </w:rPr>
      </w:pPr>
      <w:r w:rsidRPr="00F80018">
        <w:rPr>
          <w:rFonts w:ascii="Times New Roman" w:hAnsi="Times New Roman" w:cs="Times New Roman"/>
          <w:sz w:val="24"/>
          <w:szCs w:val="24"/>
        </w:rPr>
        <w:t>Cours de Formation</w:t>
      </w:r>
      <w:r w:rsidRPr="00F80018">
        <w:rPr>
          <w:rFonts w:ascii="Times New Roman" w:hAnsi="Times New Roman" w:cs="Times New Roman"/>
          <w:sz w:val="24"/>
          <w:szCs w:val="24"/>
        </w:rPr>
        <w:tab/>
      </w:r>
      <w:r w:rsidRPr="00F80018">
        <w:rPr>
          <w:rFonts w:ascii="Times New Roman" w:hAnsi="Times New Roman" w:cs="Times New Roman"/>
          <w:sz w:val="24"/>
          <w:szCs w:val="24"/>
        </w:rPr>
        <w:tab/>
      </w:r>
      <w:r w:rsidRPr="00F80018">
        <w:rPr>
          <w:rFonts w:ascii="Times New Roman" w:hAnsi="Times New Roman" w:cs="Times New Roman"/>
          <w:sz w:val="24"/>
          <w:szCs w:val="24"/>
        </w:rPr>
        <w:tab/>
      </w:r>
      <w:r w:rsidRPr="00F80018">
        <w:rPr>
          <w:rFonts w:ascii="Times New Roman" w:hAnsi="Times New Roman" w:cs="Times New Roman"/>
          <w:sz w:val="24"/>
          <w:szCs w:val="24"/>
        </w:rPr>
        <w:tab/>
        <w:t>11.8%</w:t>
      </w:r>
      <w:r w:rsidRPr="00F80018">
        <w:rPr>
          <w:rFonts w:ascii="Times New Roman" w:hAnsi="Times New Roman" w:cs="Times New Roman"/>
          <w:sz w:val="24"/>
          <w:szCs w:val="24"/>
        </w:rPr>
        <w:tab/>
      </w:r>
    </w:p>
    <w:p w:rsidR="001A7082" w:rsidRPr="00F80018" w:rsidRDefault="001A7082" w:rsidP="001A7082">
      <w:pPr>
        <w:pStyle w:val="ListParagraph"/>
        <w:numPr>
          <w:ilvl w:val="0"/>
          <w:numId w:val="14"/>
        </w:numPr>
        <w:jc w:val="both"/>
        <w:rPr>
          <w:rFonts w:ascii="Times New Roman" w:hAnsi="Times New Roman" w:cs="Times New Roman"/>
          <w:sz w:val="24"/>
          <w:szCs w:val="24"/>
        </w:rPr>
      </w:pPr>
      <w:r w:rsidRPr="00F80018">
        <w:rPr>
          <w:rFonts w:ascii="Times New Roman" w:hAnsi="Times New Roman" w:cs="Times New Roman"/>
          <w:sz w:val="24"/>
          <w:szCs w:val="24"/>
        </w:rPr>
        <w:t>Contribution au Forum Economique</w:t>
      </w:r>
      <w:r w:rsidRPr="00F80018">
        <w:rPr>
          <w:rFonts w:ascii="Times New Roman" w:hAnsi="Times New Roman" w:cs="Times New Roman"/>
          <w:sz w:val="24"/>
          <w:szCs w:val="24"/>
        </w:rPr>
        <w:tab/>
      </w:r>
      <w:r w:rsidRPr="00F80018">
        <w:rPr>
          <w:rFonts w:ascii="Times New Roman" w:hAnsi="Times New Roman" w:cs="Times New Roman"/>
          <w:sz w:val="24"/>
          <w:szCs w:val="24"/>
        </w:rPr>
        <w:tab/>
        <w:t xml:space="preserve">  4.8%</w:t>
      </w:r>
    </w:p>
    <w:p w:rsidR="001A7082" w:rsidRPr="00F80018" w:rsidRDefault="001A7082" w:rsidP="001A7082">
      <w:pPr>
        <w:pStyle w:val="ListParagraph"/>
        <w:numPr>
          <w:ilvl w:val="0"/>
          <w:numId w:val="14"/>
        </w:numPr>
        <w:jc w:val="both"/>
        <w:rPr>
          <w:rFonts w:ascii="Times New Roman" w:hAnsi="Times New Roman" w:cs="Times New Roman"/>
          <w:sz w:val="24"/>
          <w:szCs w:val="24"/>
        </w:rPr>
      </w:pPr>
      <w:r w:rsidRPr="00F80018">
        <w:rPr>
          <w:rFonts w:ascii="Times New Roman" w:hAnsi="Times New Roman" w:cs="Times New Roman"/>
          <w:sz w:val="24"/>
          <w:szCs w:val="24"/>
        </w:rPr>
        <w:t>Gains de Change</w:t>
      </w:r>
      <w:r w:rsidRPr="00F80018">
        <w:rPr>
          <w:rFonts w:ascii="Times New Roman" w:hAnsi="Times New Roman" w:cs="Times New Roman"/>
          <w:sz w:val="24"/>
          <w:szCs w:val="24"/>
        </w:rPr>
        <w:tab/>
      </w:r>
      <w:r w:rsidRPr="00F80018">
        <w:rPr>
          <w:rFonts w:ascii="Times New Roman" w:hAnsi="Times New Roman" w:cs="Times New Roman"/>
          <w:sz w:val="24"/>
          <w:szCs w:val="24"/>
        </w:rPr>
        <w:tab/>
      </w:r>
      <w:r w:rsidRPr="00F80018">
        <w:rPr>
          <w:rFonts w:ascii="Times New Roman" w:hAnsi="Times New Roman" w:cs="Times New Roman"/>
          <w:sz w:val="24"/>
          <w:szCs w:val="24"/>
        </w:rPr>
        <w:tab/>
      </w:r>
      <w:r w:rsidRPr="00F80018">
        <w:rPr>
          <w:rFonts w:ascii="Times New Roman" w:hAnsi="Times New Roman" w:cs="Times New Roman"/>
          <w:sz w:val="24"/>
          <w:szCs w:val="24"/>
        </w:rPr>
        <w:tab/>
        <w:t xml:space="preserve">  0.7%</w:t>
      </w:r>
    </w:p>
    <w:p w:rsidR="001A7082" w:rsidRDefault="001A7082" w:rsidP="001A7082">
      <w:pPr>
        <w:pStyle w:val="ListParagraph"/>
        <w:numPr>
          <w:ilvl w:val="0"/>
          <w:numId w:val="14"/>
        </w:numPr>
        <w:jc w:val="both"/>
        <w:rPr>
          <w:rFonts w:ascii="Times New Roman" w:hAnsi="Times New Roman" w:cs="Times New Roman"/>
          <w:sz w:val="24"/>
          <w:szCs w:val="24"/>
        </w:rPr>
      </w:pPr>
      <w:r w:rsidRPr="00F80018">
        <w:rPr>
          <w:rFonts w:ascii="Times New Roman" w:hAnsi="Times New Roman" w:cs="Times New Roman"/>
          <w:sz w:val="24"/>
          <w:szCs w:val="24"/>
        </w:rPr>
        <w:t>Fêtes de fin d’année</w:t>
      </w:r>
      <w:r w:rsidRPr="00F80018">
        <w:rPr>
          <w:rFonts w:ascii="Times New Roman" w:hAnsi="Times New Roman" w:cs="Times New Roman"/>
          <w:sz w:val="24"/>
          <w:szCs w:val="24"/>
        </w:rPr>
        <w:tab/>
      </w:r>
      <w:r w:rsidRPr="00F80018">
        <w:rPr>
          <w:rFonts w:ascii="Times New Roman" w:hAnsi="Times New Roman" w:cs="Times New Roman"/>
          <w:sz w:val="24"/>
          <w:szCs w:val="24"/>
        </w:rPr>
        <w:tab/>
      </w:r>
      <w:r w:rsidRPr="00F80018">
        <w:rPr>
          <w:rFonts w:ascii="Times New Roman" w:hAnsi="Times New Roman" w:cs="Times New Roman"/>
          <w:sz w:val="24"/>
          <w:szCs w:val="24"/>
        </w:rPr>
        <w:tab/>
      </w:r>
      <w:r w:rsidRPr="00F80018">
        <w:rPr>
          <w:rFonts w:ascii="Times New Roman" w:hAnsi="Times New Roman" w:cs="Times New Roman"/>
          <w:sz w:val="24"/>
          <w:szCs w:val="24"/>
        </w:rPr>
        <w:tab/>
        <w:t xml:space="preserve">  2.2%</w:t>
      </w:r>
      <w:r w:rsidRPr="00F80018">
        <w:rPr>
          <w:rFonts w:ascii="Times New Roman" w:hAnsi="Times New Roman" w:cs="Times New Roman"/>
          <w:sz w:val="24"/>
          <w:szCs w:val="24"/>
        </w:rPr>
        <w:tab/>
        <w:t xml:space="preserve"> </w:t>
      </w:r>
    </w:p>
    <w:p w:rsidR="002833A0" w:rsidRDefault="002833A0" w:rsidP="002833A0">
      <w:pPr>
        <w:jc w:val="both"/>
        <w:rPr>
          <w:rFonts w:ascii="Times New Roman" w:hAnsi="Times New Roman" w:cs="Times New Roman"/>
          <w:sz w:val="24"/>
          <w:szCs w:val="24"/>
        </w:rPr>
      </w:pPr>
    </w:p>
    <w:p w:rsidR="002833A0" w:rsidRDefault="002833A0" w:rsidP="002833A0">
      <w:pPr>
        <w:jc w:val="both"/>
        <w:rPr>
          <w:rFonts w:ascii="Times New Roman" w:hAnsi="Times New Roman" w:cs="Times New Roman"/>
          <w:sz w:val="24"/>
          <w:szCs w:val="24"/>
        </w:rPr>
      </w:pPr>
    </w:p>
    <w:p w:rsidR="002833A0" w:rsidRPr="002833A0" w:rsidRDefault="002833A0" w:rsidP="002833A0">
      <w:pPr>
        <w:jc w:val="both"/>
        <w:rPr>
          <w:rFonts w:ascii="Times New Roman" w:hAnsi="Times New Roman" w:cs="Times New Roman"/>
          <w:sz w:val="24"/>
          <w:szCs w:val="24"/>
        </w:rPr>
      </w:pPr>
    </w:p>
    <w:p w:rsidR="001A7082" w:rsidRPr="00F80018" w:rsidRDefault="001A7082" w:rsidP="001A7082">
      <w:pPr>
        <w:jc w:val="both"/>
        <w:rPr>
          <w:rFonts w:ascii="Times New Roman" w:hAnsi="Times New Roman" w:cs="Times New Roman"/>
          <w:b/>
          <w:sz w:val="24"/>
          <w:szCs w:val="24"/>
        </w:rPr>
      </w:pPr>
      <w:r w:rsidRPr="00F80018">
        <w:rPr>
          <w:rFonts w:ascii="Times New Roman" w:hAnsi="Times New Roman" w:cs="Times New Roman"/>
          <w:b/>
          <w:sz w:val="24"/>
          <w:szCs w:val="24"/>
        </w:rPr>
        <w:lastRenderedPageBreak/>
        <w:t xml:space="preserve"> DEPENSES</w:t>
      </w:r>
    </w:p>
    <w:p w:rsidR="001A7082" w:rsidRPr="00F80018" w:rsidRDefault="001A7082" w:rsidP="001A7082">
      <w:pPr>
        <w:jc w:val="both"/>
        <w:rPr>
          <w:rFonts w:ascii="Times New Roman" w:hAnsi="Times New Roman" w:cs="Times New Roman"/>
          <w:sz w:val="24"/>
          <w:szCs w:val="24"/>
        </w:rPr>
      </w:pPr>
      <w:r w:rsidRPr="00F80018">
        <w:rPr>
          <w:rFonts w:ascii="Times New Roman" w:hAnsi="Times New Roman" w:cs="Times New Roman"/>
          <w:sz w:val="24"/>
          <w:szCs w:val="24"/>
        </w:rPr>
        <w:t>Les dépenses sont en harmonie avec les rentrées et sont constituées essentiellement de Charges de Personnel et de Fonctionnement. Elles s’élèvent à Gdes6.253.786.- et se répartissent comme le montre la ventilation suivante :</w:t>
      </w:r>
    </w:p>
    <w:p w:rsidR="001A7082" w:rsidRPr="00F80018" w:rsidRDefault="001A7082" w:rsidP="001A7082">
      <w:pPr>
        <w:jc w:val="both"/>
        <w:rPr>
          <w:rFonts w:ascii="Times New Roman" w:hAnsi="Times New Roman" w:cs="Times New Roman"/>
          <w:sz w:val="24"/>
          <w:szCs w:val="24"/>
        </w:rPr>
      </w:pPr>
      <w:r w:rsidRPr="00F80018">
        <w:rPr>
          <w:rFonts w:ascii="Times New Roman" w:hAnsi="Times New Roman" w:cs="Times New Roman"/>
          <w:sz w:val="24"/>
          <w:szCs w:val="24"/>
        </w:rPr>
        <w:t xml:space="preserve">         -     Charges de Personnel </w:t>
      </w:r>
      <w:r w:rsidRPr="00F80018">
        <w:rPr>
          <w:rFonts w:ascii="Times New Roman" w:hAnsi="Times New Roman" w:cs="Times New Roman"/>
          <w:sz w:val="24"/>
          <w:szCs w:val="24"/>
        </w:rPr>
        <w:tab/>
      </w:r>
      <w:r w:rsidRPr="00F80018">
        <w:rPr>
          <w:rFonts w:ascii="Times New Roman" w:hAnsi="Times New Roman" w:cs="Times New Roman"/>
          <w:sz w:val="24"/>
          <w:szCs w:val="24"/>
        </w:rPr>
        <w:tab/>
      </w:r>
      <w:r w:rsidRPr="00F80018">
        <w:rPr>
          <w:rFonts w:ascii="Times New Roman" w:hAnsi="Times New Roman" w:cs="Times New Roman"/>
          <w:sz w:val="24"/>
          <w:szCs w:val="24"/>
        </w:rPr>
        <w:tab/>
        <w:t>50.2%</w:t>
      </w:r>
    </w:p>
    <w:p w:rsidR="001A7082" w:rsidRPr="00F80018" w:rsidRDefault="001A7082" w:rsidP="001A7082">
      <w:pPr>
        <w:jc w:val="both"/>
        <w:rPr>
          <w:rFonts w:ascii="Times New Roman" w:hAnsi="Times New Roman" w:cs="Times New Roman"/>
          <w:sz w:val="24"/>
          <w:szCs w:val="24"/>
        </w:rPr>
      </w:pPr>
      <w:r w:rsidRPr="00F80018">
        <w:rPr>
          <w:rFonts w:ascii="Times New Roman" w:hAnsi="Times New Roman" w:cs="Times New Roman"/>
          <w:sz w:val="24"/>
          <w:szCs w:val="24"/>
        </w:rPr>
        <w:t xml:space="preserve">         -     Charges de Fonctionnement </w:t>
      </w:r>
      <w:r w:rsidRPr="00F80018">
        <w:rPr>
          <w:rFonts w:ascii="Times New Roman" w:hAnsi="Times New Roman" w:cs="Times New Roman"/>
          <w:sz w:val="24"/>
          <w:szCs w:val="24"/>
        </w:rPr>
        <w:tab/>
      </w:r>
      <w:r w:rsidRPr="00F80018">
        <w:rPr>
          <w:rFonts w:ascii="Times New Roman" w:hAnsi="Times New Roman" w:cs="Times New Roman"/>
          <w:sz w:val="24"/>
          <w:szCs w:val="24"/>
        </w:rPr>
        <w:tab/>
        <w:t>42.6%</w:t>
      </w:r>
    </w:p>
    <w:p w:rsidR="001A7082" w:rsidRPr="00F80018" w:rsidRDefault="001A7082" w:rsidP="001A7082">
      <w:pPr>
        <w:jc w:val="both"/>
        <w:rPr>
          <w:rFonts w:ascii="Times New Roman" w:hAnsi="Times New Roman" w:cs="Times New Roman"/>
          <w:sz w:val="24"/>
          <w:szCs w:val="24"/>
        </w:rPr>
      </w:pPr>
      <w:r w:rsidRPr="00F80018">
        <w:rPr>
          <w:rFonts w:ascii="Times New Roman" w:hAnsi="Times New Roman" w:cs="Times New Roman"/>
          <w:sz w:val="24"/>
          <w:szCs w:val="24"/>
        </w:rPr>
        <w:t xml:space="preserve">         -     Autres Charges de Fonctionnement </w:t>
      </w:r>
      <w:r w:rsidRPr="00F80018">
        <w:rPr>
          <w:rFonts w:ascii="Times New Roman" w:hAnsi="Times New Roman" w:cs="Times New Roman"/>
          <w:sz w:val="24"/>
          <w:szCs w:val="24"/>
        </w:rPr>
        <w:tab/>
        <w:t xml:space="preserve">  2.4%</w:t>
      </w:r>
    </w:p>
    <w:p w:rsidR="001A7082" w:rsidRPr="00F80018" w:rsidRDefault="001A7082" w:rsidP="001A7082">
      <w:pPr>
        <w:jc w:val="both"/>
        <w:rPr>
          <w:rFonts w:ascii="Times New Roman" w:hAnsi="Times New Roman" w:cs="Times New Roman"/>
          <w:sz w:val="24"/>
          <w:szCs w:val="24"/>
        </w:rPr>
      </w:pPr>
      <w:r w:rsidRPr="00F80018">
        <w:rPr>
          <w:rFonts w:ascii="Times New Roman" w:hAnsi="Times New Roman" w:cs="Times New Roman"/>
          <w:sz w:val="24"/>
          <w:szCs w:val="24"/>
        </w:rPr>
        <w:t xml:space="preserve">         -     Dotations aux Amortissements </w:t>
      </w:r>
      <w:r w:rsidRPr="00F80018">
        <w:rPr>
          <w:rFonts w:ascii="Times New Roman" w:hAnsi="Times New Roman" w:cs="Times New Roman"/>
          <w:sz w:val="24"/>
          <w:szCs w:val="24"/>
        </w:rPr>
        <w:tab/>
      </w:r>
      <w:r w:rsidRPr="00F80018">
        <w:rPr>
          <w:rFonts w:ascii="Times New Roman" w:hAnsi="Times New Roman" w:cs="Times New Roman"/>
          <w:sz w:val="24"/>
          <w:szCs w:val="24"/>
        </w:rPr>
        <w:tab/>
        <w:t xml:space="preserve">  4.1%</w:t>
      </w:r>
    </w:p>
    <w:p w:rsidR="001A7082" w:rsidRPr="00F80018" w:rsidRDefault="001A7082" w:rsidP="001A7082">
      <w:pPr>
        <w:jc w:val="both"/>
        <w:rPr>
          <w:rFonts w:ascii="Times New Roman" w:hAnsi="Times New Roman" w:cs="Times New Roman"/>
          <w:sz w:val="24"/>
          <w:szCs w:val="24"/>
        </w:rPr>
      </w:pPr>
      <w:r w:rsidRPr="00F80018">
        <w:rPr>
          <w:rFonts w:ascii="Times New Roman" w:hAnsi="Times New Roman" w:cs="Times New Roman"/>
          <w:sz w:val="24"/>
          <w:szCs w:val="24"/>
        </w:rPr>
        <w:t xml:space="preserve">         -     Impôts &amp; Taxes                        </w:t>
      </w:r>
      <w:r w:rsidRPr="00F80018">
        <w:rPr>
          <w:rFonts w:ascii="Times New Roman" w:hAnsi="Times New Roman" w:cs="Times New Roman"/>
          <w:sz w:val="24"/>
          <w:szCs w:val="24"/>
        </w:rPr>
        <w:tab/>
      </w:r>
      <w:r w:rsidRPr="00F80018">
        <w:rPr>
          <w:rFonts w:ascii="Times New Roman" w:hAnsi="Times New Roman" w:cs="Times New Roman"/>
          <w:sz w:val="24"/>
          <w:szCs w:val="24"/>
        </w:rPr>
        <w:tab/>
        <w:t xml:space="preserve">  0.7%</w:t>
      </w:r>
    </w:p>
    <w:p w:rsidR="001A7082" w:rsidRPr="00F80018" w:rsidRDefault="001A7082" w:rsidP="001A7082">
      <w:pPr>
        <w:jc w:val="both"/>
        <w:rPr>
          <w:rFonts w:ascii="Times New Roman" w:hAnsi="Times New Roman" w:cs="Times New Roman"/>
          <w:sz w:val="24"/>
          <w:szCs w:val="24"/>
        </w:rPr>
      </w:pPr>
      <w:r w:rsidRPr="00F80018">
        <w:rPr>
          <w:rFonts w:ascii="Times New Roman" w:hAnsi="Times New Roman" w:cs="Times New Roman"/>
          <w:sz w:val="24"/>
          <w:szCs w:val="24"/>
        </w:rPr>
        <w:t>Au niveau des Charges de Pers</w:t>
      </w:r>
      <w:r w:rsidR="002833A0">
        <w:rPr>
          <w:rFonts w:ascii="Times New Roman" w:hAnsi="Times New Roman" w:cs="Times New Roman"/>
          <w:sz w:val="24"/>
          <w:szCs w:val="24"/>
        </w:rPr>
        <w:t>onnel, la tendance a été à la limite</w:t>
      </w:r>
      <w:r w:rsidRPr="00F80018">
        <w:rPr>
          <w:rFonts w:ascii="Times New Roman" w:hAnsi="Times New Roman" w:cs="Times New Roman"/>
          <w:sz w:val="24"/>
          <w:szCs w:val="24"/>
        </w:rPr>
        <w:t xml:space="preserve"> des prévisions budgétaires. De Gdes3.206.132,59  au</w:t>
      </w:r>
      <w:r>
        <w:rPr>
          <w:rFonts w:ascii="Times New Roman" w:hAnsi="Times New Roman" w:cs="Times New Roman"/>
          <w:sz w:val="24"/>
          <w:szCs w:val="24"/>
        </w:rPr>
        <w:t xml:space="preserve"> Budget, l</w:t>
      </w:r>
      <w:r w:rsidRPr="00F80018">
        <w:rPr>
          <w:rFonts w:ascii="Times New Roman" w:hAnsi="Times New Roman" w:cs="Times New Roman"/>
          <w:sz w:val="24"/>
          <w:szCs w:val="24"/>
        </w:rPr>
        <w:t xml:space="preserve">es dépenses </w:t>
      </w:r>
      <w:r>
        <w:rPr>
          <w:rFonts w:ascii="Times New Roman" w:hAnsi="Times New Roman" w:cs="Times New Roman"/>
          <w:sz w:val="24"/>
          <w:szCs w:val="24"/>
        </w:rPr>
        <w:t xml:space="preserve">exécutées </w:t>
      </w:r>
      <w:r w:rsidRPr="00F80018">
        <w:rPr>
          <w:rFonts w:ascii="Times New Roman" w:hAnsi="Times New Roman" w:cs="Times New Roman"/>
          <w:sz w:val="24"/>
          <w:szCs w:val="24"/>
        </w:rPr>
        <w:t xml:space="preserve">sont </w:t>
      </w:r>
      <w:r>
        <w:rPr>
          <w:rFonts w:ascii="Times New Roman" w:hAnsi="Times New Roman" w:cs="Times New Roman"/>
          <w:sz w:val="24"/>
          <w:szCs w:val="24"/>
        </w:rPr>
        <w:t>de</w:t>
      </w:r>
      <w:r w:rsidRPr="00F80018">
        <w:rPr>
          <w:rFonts w:ascii="Times New Roman" w:hAnsi="Times New Roman" w:cs="Times New Roman"/>
          <w:sz w:val="24"/>
          <w:szCs w:val="24"/>
        </w:rPr>
        <w:t xml:space="preserve"> Gdes3.137.742,13, soit une contraction de Gdes68.390,46.</w:t>
      </w:r>
    </w:p>
    <w:p w:rsidR="001A7082" w:rsidRPr="00F80018" w:rsidRDefault="001A7082" w:rsidP="001A7082">
      <w:pPr>
        <w:jc w:val="both"/>
        <w:rPr>
          <w:rFonts w:ascii="Times New Roman" w:hAnsi="Times New Roman" w:cs="Times New Roman"/>
          <w:sz w:val="24"/>
          <w:szCs w:val="24"/>
        </w:rPr>
      </w:pPr>
      <w:r>
        <w:rPr>
          <w:rFonts w:ascii="Times New Roman" w:hAnsi="Times New Roman" w:cs="Times New Roman"/>
          <w:sz w:val="24"/>
          <w:szCs w:val="24"/>
        </w:rPr>
        <w:t xml:space="preserve"> Les salaires </w:t>
      </w:r>
      <w:r w:rsidRPr="00F80018">
        <w:rPr>
          <w:rFonts w:ascii="Times New Roman" w:hAnsi="Times New Roman" w:cs="Times New Roman"/>
          <w:sz w:val="24"/>
          <w:szCs w:val="24"/>
        </w:rPr>
        <w:t>ont diminué de Gdes16.804,88, l’Assurance, de Gdes22.389,88 et l’Epargne-Pension ONA, de Gdes2.626,66.</w:t>
      </w:r>
    </w:p>
    <w:p w:rsidR="001A7082" w:rsidRPr="00F80018" w:rsidRDefault="001A7082" w:rsidP="001A7082">
      <w:pPr>
        <w:jc w:val="both"/>
        <w:rPr>
          <w:rFonts w:ascii="Times New Roman" w:hAnsi="Times New Roman" w:cs="Times New Roman"/>
          <w:sz w:val="24"/>
          <w:szCs w:val="24"/>
        </w:rPr>
      </w:pPr>
      <w:r w:rsidRPr="00F80018">
        <w:rPr>
          <w:rFonts w:ascii="Times New Roman" w:hAnsi="Times New Roman" w:cs="Times New Roman"/>
          <w:sz w:val="24"/>
          <w:szCs w:val="24"/>
        </w:rPr>
        <w:t xml:space="preserve">Quant aux Autres Dépenses, beaucoup plus sensibles au phénomène inflationniste, la tendance a été contraire. Ces dépenses incluent : les Charges de Fonctionnement, les Autres Charges de Fonctionnement ainsi que les Dotations aux Amortissements et les Impôts et Taxes.     </w:t>
      </w:r>
    </w:p>
    <w:p w:rsidR="001A7082" w:rsidRPr="00F80018" w:rsidRDefault="001A7082" w:rsidP="001A7082">
      <w:pPr>
        <w:jc w:val="both"/>
        <w:rPr>
          <w:rFonts w:ascii="Times New Roman" w:hAnsi="Times New Roman" w:cs="Times New Roman"/>
          <w:sz w:val="24"/>
          <w:szCs w:val="24"/>
        </w:rPr>
      </w:pPr>
      <w:r w:rsidRPr="00F80018">
        <w:rPr>
          <w:rFonts w:ascii="Times New Roman" w:hAnsi="Times New Roman" w:cs="Times New Roman"/>
          <w:sz w:val="24"/>
          <w:szCs w:val="24"/>
        </w:rPr>
        <w:t xml:space="preserve">Les Charges de Fonctionnement contiennent les principaux intrants qui ont conduit à la hausse des dépenses globales. De Gdes2.430.570,29  </w:t>
      </w:r>
      <w:r>
        <w:rPr>
          <w:rFonts w:ascii="Times New Roman" w:hAnsi="Times New Roman" w:cs="Times New Roman"/>
          <w:sz w:val="24"/>
          <w:szCs w:val="24"/>
        </w:rPr>
        <w:t>au B</w:t>
      </w:r>
      <w:r w:rsidRPr="00F80018">
        <w:rPr>
          <w:rFonts w:ascii="Times New Roman" w:hAnsi="Times New Roman" w:cs="Times New Roman"/>
          <w:sz w:val="24"/>
          <w:szCs w:val="24"/>
        </w:rPr>
        <w:t>udget, elles se sont élevées à Gdes2.662.426,76 au niveau des réalisations, soit une hausse de Gdes231.856,47.</w:t>
      </w:r>
    </w:p>
    <w:p w:rsidR="001A7082" w:rsidRPr="00F80018" w:rsidRDefault="001A7082" w:rsidP="001A7082">
      <w:pPr>
        <w:jc w:val="both"/>
        <w:rPr>
          <w:rFonts w:ascii="Times New Roman" w:hAnsi="Times New Roman" w:cs="Times New Roman"/>
          <w:sz w:val="24"/>
          <w:szCs w:val="24"/>
        </w:rPr>
      </w:pPr>
      <w:r w:rsidRPr="00F80018">
        <w:rPr>
          <w:rFonts w:ascii="Times New Roman" w:hAnsi="Times New Roman" w:cs="Times New Roman"/>
          <w:sz w:val="24"/>
          <w:szCs w:val="24"/>
        </w:rPr>
        <w:t>Les dépenses qui ont contribué à cette hausse, sont, par ordre décroissant :</w:t>
      </w:r>
    </w:p>
    <w:p w:rsidR="001A7082" w:rsidRPr="00F80018" w:rsidRDefault="001A7082" w:rsidP="001A7082">
      <w:pPr>
        <w:ind w:left="360"/>
        <w:jc w:val="both"/>
        <w:rPr>
          <w:rFonts w:ascii="Times New Roman" w:hAnsi="Times New Roman" w:cs="Times New Roman"/>
          <w:sz w:val="24"/>
          <w:szCs w:val="24"/>
        </w:rPr>
      </w:pPr>
      <w:r w:rsidRPr="00F80018">
        <w:rPr>
          <w:rFonts w:ascii="Times New Roman" w:hAnsi="Times New Roman" w:cs="Times New Roman"/>
          <w:sz w:val="24"/>
          <w:szCs w:val="24"/>
        </w:rPr>
        <w:t xml:space="preserve">1 - Relations Publiques (Gdes443.236,17), incluant Forum Economique et Fêtes de Fin d’année </w:t>
      </w:r>
    </w:p>
    <w:p w:rsidR="001A7082" w:rsidRPr="00F80018" w:rsidRDefault="001A7082" w:rsidP="001A7082">
      <w:pPr>
        <w:ind w:firstLine="360"/>
        <w:jc w:val="both"/>
        <w:rPr>
          <w:rFonts w:ascii="Times New Roman" w:hAnsi="Times New Roman" w:cs="Times New Roman"/>
          <w:sz w:val="24"/>
          <w:szCs w:val="24"/>
        </w:rPr>
      </w:pPr>
      <w:r w:rsidRPr="00F80018">
        <w:rPr>
          <w:rFonts w:ascii="Times New Roman" w:hAnsi="Times New Roman" w:cs="Times New Roman"/>
          <w:sz w:val="24"/>
          <w:szCs w:val="24"/>
        </w:rPr>
        <w:t>2 - Carburant, Electricité, Eau et Téléphone (Gdes209.247,31)</w:t>
      </w:r>
    </w:p>
    <w:p w:rsidR="001A7082" w:rsidRPr="00F80018" w:rsidRDefault="001A7082" w:rsidP="001A7082">
      <w:pPr>
        <w:ind w:firstLine="360"/>
        <w:jc w:val="both"/>
        <w:rPr>
          <w:rFonts w:ascii="Times New Roman" w:hAnsi="Times New Roman" w:cs="Times New Roman"/>
          <w:sz w:val="24"/>
          <w:szCs w:val="24"/>
        </w:rPr>
      </w:pPr>
      <w:r w:rsidRPr="00F80018">
        <w:rPr>
          <w:rFonts w:ascii="Times New Roman" w:hAnsi="Times New Roman" w:cs="Times New Roman"/>
          <w:sz w:val="24"/>
          <w:szCs w:val="24"/>
        </w:rPr>
        <w:t>3 - Entretien et Sécurité des Locaux (Gdes126.313,56)</w:t>
      </w:r>
    </w:p>
    <w:p w:rsidR="001A7082" w:rsidRDefault="001A7082" w:rsidP="001A7082">
      <w:pPr>
        <w:ind w:firstLine="360"/>
        <w:jc w:val="both"/>
        <w:rPr>
          <w:rFonts w:ascii="Times New Roman" w:hAnsi="Times New Roman" w:cs="Times New Roman"/>
          <w:sz w:val="24"/>
          <w:szCs w:val="24"/>
        </w:rPr>
      </w:pPr>
      <w:r w:rsidRPr="00F80018">
        <w:rPr>
          <w:rFonts w:ascii="Times New Roman" w:hAnsi="Times New Roman" w:cs="Times New Roman"/>
          <w:sz w:val="24"/>
          <w:szCs w:val="24"/>
        </w:rPr>
        <w:t>4 - Déplacement, Réunion et Séminaire (Gdes124.311,67)</w:t>
      </w:r>
    </w:p>
    <w:p w:rsidR="001A7082" w:rsidRPr="00F80018" w:rsidRDefault="001A7082" w:rsidP="001A7082">
      <w:pPr>
        <w:jc w:val="both"/>
        <w:rPr>
          <w:rFonts w:ascii="Times New Roman" w:hAnsi="Times New Roman" w:cs="Times New Roman"/>
          <w:sz w:val="24"/>
          <w:szCs w:val="24"/>
        </w:rPr>
      </w:pPr>
      <w:r w:rsidRPr="00F80018">
        <w:rPr>
          <w:rFonts w:ascii="Times New Roman" w:hAnsi="Times New Roman" w:cs="Times New Roman"/>
          <w:sz w:val="24"/>
          <w:szCs w:val="24"/>
        </w:rPr>
        <w:t>Les Autres Charges de Fonctionnement ont progressé de Gdes1.263,98.  De Gdes146.367,54 au Budget, elles sont passées à Gdes147.631,52 pour les réalisations. Si les Frais bancaires et les Publications et Journaux ont respectivement augmenté de Gdes11.319,05 et de Gdes4.461,36, une baisse de Gdes14.946,40 a été observée pour les Frais de Transport.</w:t>
      </w:r>
    </w:p>
    <w:p w:rsidR="001A7082" w:rsidRPr="00F80018" w:rsidRDefault="001A7082" w:rsidP="001A7082">
      <w:pPr>
        <w:jc w:val="both"/>
        <w:rPr>
          <w:rFonts w:ascii="Times New Roman" w:hAnsi="Times New Roman" w:cs="Times New Roman"/>
          <w:sz w:val="24"/>
          <w:szCs w:val="24"/>
        </w:rPr>
      </w:pPr>
      <w:r w:rsidRPr="00F80018">
        <w:rPr>
          <w:rFonts w:ascii="Times New Roman" w:hAnsi="Times New Roman" w:cs="Times New Roman"/>
          <w:sz w:val="24"/>
          <w:szCs w:val="24"/>
        </w:rPr>
        <w:lastRenderedPageBreak/>
        <w:t>L’achat d’une imprimante jet d’encre (deskjet) et d’un scanner a contribué à la hausse de Gdes5.714,61 des Dotations aux Amortissements qui sont passées de Gdes252.481,24 au Budget à Gdes258.195,85 aux réalisations.</w:t>
      </w:r>
    </w:p>
    <w:p w:rsidR="001A7082" w:rsidRDefault="001A7082" w:rsidP="001A7082">
      <w:pPr>
        <w:jc w:val="both"/>
        <w:rPr>
          <w:rFonts w:ascii="Times New Roman" w:hAnsi="Times New Roman" w:cs="Times New Roman"/>
          <w:sz w:val="24"/>
          <w:szCs w:val="24"/>
        </w:rPr>
      </w:pPr>
      <w:r w:rsidRPr="00F80018">
        <w:rPr>
          <w:rFonts w:ascii="Times New Roman" w:hAnsi="Times New Roman" w:cs="Times New Roman"/>
          <w:sz w:val="24"/>
          <w:szCs w:val="24"/>
        </w:rPr>
        <w:t xml:space="preserve">Les résultats obtenus sont conformes aux prévisions. Dès le début de l’année, un équilibre budgétaire a été plutôt recherché. Le Budget voté avait prévu un léger excédent de Gdes7.514.-. Ce surplus a été obtenu dans le Budget exécuté. </w:t>
      </w:r>
    </w:p>
    <w:p w:rsidR="001A7082" w:rsidRDefault="001A7082" w:rsidP="001A7082">
      <w:pPr>
        <w:jc w:val="both"/>
        <w:rPr>
          <w:rFonts w:ascii="Times New Roman" w:hAnsi="Times New Roman" w:cs="Times New Roman"/>
          <w:sz w:val="24"/>
          <w:szCs w:val="24"/>
        </w:rPr>
      </w:pPr>
    </w:p>
    <w:p w:rsidR="001A7082" w:rsidRPr="00F80018" w:rsidRDefault="001A7082" w:rsidP="001A7082">
      <w:pPr>
        <w:jc w:val="both"/>
        <w:rPr>
          <w:rFonts w:ascii="Times New Roman" w:hAnsi="Times New Roman" w:cs="Times New Roman"/>
          <w:sz w:val="24"/>
          <w:szCs w:val="24"/>
        </w:rPr>
      </w:pPr>
    </w:p>
    <w:p w:rsidR="001A7082" w:rsidRPr="00F80018" w:rsidRDefault="001A7082" w:rsidP="001A7082">
      <w:pPr>
        <w:jc w:val="both"/>
        <w:rPr>
          <w:rFonts w:ascii="Times New Roman" w:hAnsi="Times New Roman" w:cs="Times New Roman"/>
          <w:b/>
          <w:sz w:val="24"/>
          <w:szCs w:val="24"/>
        </w:rPr>
      </w:pPr>
      <w:r w:rsidRPr="00F80018">
        <w:rPr>
          <w:rFonts w:ascii="Times New Roman" w:hAnsi="Times New Roman" w:cs="Times New Roman"/>
          <w:b/>
          <w:sz w:val="24"/>
          <w:szCs w:val="24"/>
        </w:rPr>
        <w:t>ACTIF</w:t>
      </w:r>
    </w:p>
    <w:p w:rsidR="001A7082" w:rsidRPr="00F80018" w:rsidRDefault="001A7082" w:rsidP="001A7082">
      <w:pPr>
        <w:jc w:val="both"/>
        <w:rPr>
          <w:rFonts w:ascii="Times New Roman" w:hAnsi="Times New Roman" w:cs="Times New Roman"/>
          <w:sz w:val="24"/>
          <w:szCs w:val="24"/>
        </w:rPr>
      </w:pPr>
      <w:r w:rsidRPr="00F80018">
        <w:rPr>
          <w:rFonts w:ascii="Times New Roman" w:hAnsi="Times New Roman" w:cs="Times New Roman"/>
          <w:sz w:val="24"/>
          <w:szCs w:val="24"/>
        </w:rPr>
        <w:t>De Gdes5.211.158,11  au 30 septembre 2012, l’Actif  de l’Association est passé à Gdes5.274.593,55 au 30 septembre 2013, soit une hausse de Gdes63.435,44. Cette augmentation est surtout imputable à une remontée des liquidités.</w:t>
      </w:r>
    </w:p>
    <w:p w:rsidR="001A7082" w:rsidRPr="00F80018" w:rsidRDefault="001A7082" w:rsidP="001A7082">
      <w:pPr>
        <w:jc w:val="both"/>
        <w:rPr>
          <w:rFonts w:ascii="Times New Roman" w:hAnsi="Times New Roman" w:cs="Times New Roman"/>
          <w:b/>
          <w:sz w:val="24"/>
          <w:szCs w:val="24"/>
        </w:rPr>
      </w:pPr>
      <w:r w:rsidRPr="00F80018">
        <w:rPr>
          <w:rFonts w:ascii="Times New Roman" w:hAnsi="Times New Roman" w:cs="Times New Roman"/>
          <w:b/>
          <w:sz w:val="24"/>
          <w:szCs w:val="24"/>
        </w:rPr>
        <w:t>1 – LIQUIDITES</w:t>
      </w:r>
    </w:p>
    <w:p w:rsidR="001A7082" w:rsidRPr="00F80018" w:rsidRDefault="001A7082" w:rsidP="001A7082">
      <w:pPr>
        <w:jc w:val="both"/>
        <w:rPr>
          <w:rFonts w:ascii="Times New Roman" w:hAnsi="Times New Roman" w:cs="Times New Roman"/>
          <w:sz w:val="24"/>
          <w:szCs w:val="24"/>
        </w:rPr>
      </w:pPr>
      <w:r w:rsidRPr="00F80018">
        <w:rPr>
          <w:rFonts w:ascii="Times New Roman" w:hAnsi="Times New Roman" w:cs="Times New Roman"/>
          <w:sz w:val="24"/>
          <w:szCs w:val="24"/>
        </w:rPr>
        <w:t xml:space="preserve">Les Actifs liquides ont atteint Gdes4.651.442,69  au 30 septembre 2013, en hausse de Gdes290.858,09 par rapport aux Actifs liquides au 30 septembre de l’exercice précédent. En premier lieu,  se retrouvent les Actifs liquides  sous forme de comptes courants et de dépôts à terme qui, de Gdes2.281.250,87 au 30 septembre 2012, se sont élevés à Gdes2.438.399,27 au 30 septembre 2013, soit une hausse de Gdes157.148,40. </w:t>
      </w:r>
    </w:p>
    <w:p w:rsidR="001A7082" w:rsidRPr="00F80018" w:rsidRDefault="001A7082" w:rsidP="001A7082">
      <w:pPr>
        <w:jc w:val="both"/>
        <w:rPr>
          <w:rFonts w:ascii="Times New Roman" w:hAnsi="Times New Roman" w:cs="Times New Roman"/>
          <w:sz w:val="24"/>
          <w:szCs w:val="24"/>
        </w:rPr>
      </w:pPr>
      <w:r w:rsidRPr="00F80018">
        <w:rPr>
          <w:rFonts w:ascii="Times New Roman" w:hAnsi="Times New Roman" w:cs="Times New Roman"/>
          <w:sz w:val="24"/>
          <w:szCs w:val="24"/>
        </w:rPr>
        <w:t>Durant cette période, les comptes courants ont progressé de Gdes111.957,90  tandis que les comptes de dépôts à terme, en grande partie par suite de la dépréciation du taux de change, se sont accrus de Gdes45.190,50.</w:t>
      </w:r>
    </w:p>
    <w:p w:rsidR="001A7082" w:rsidRPr="00F80018" w:rsidRDefault="001A7082" w:rsidP="001A7082">
      <w:pPr>
        <w:jc w:val="both"/>
        <w:rPr>
          <w:rFonts w:ascii="Times New Roman" w:hAnsi="Times New Roman" w:cs="Times New Roman"/>
          <w:sz w:val="24"/>
          <w:szCs w:val="24"/>
        </w:rPr>
      </w:pPr>
      <w:r w:rsidRPr="00F80018">
        <w:rPr>
          <w:rFonts w:ascii="Times New Roman" w:hAnsi="Times New Roman" w:cs="Times New Roman"/>
          <w:sz w:val="24"/>
          <w:szCs w:val="24"/>
        </w:rPr>
        <w:t xml:space="preserve">Les Autres Actifs liquides ont suivi la même tendance. De Gdes819.999,11, ils sont passés à Gdes953.708,80, soit une augmentation de Gdes133.709,69. </w:t>
      </w:r>
    </w:p>
    <w:p w:rsidR="001A7082" w:rsidRPr="00F80018" w:rsidRDefault="001A7082" w:rsidP="001A7082">
      <w:pPr>
        <w:jc w:val="both"/>
        <w:rPr>
          <w:rFonts w:ascii="Times New Roman" w:hAnsi="Times New Roman" w:cs="Times New Roman"/>
          <w:b/>
          <w:sz w:val="24"/>
          <w:szCs w:val="24"/>
        </w:rPr>
      </w:pPr>
      <w:r w:rsidRPr="00F80018">
        <w:rPr>
          <w:rFonts w:ascii="Times New Roman" w:hAnsi="Times New Roman" w:cs="Times New Roman"/>
          <w:b/>
          <w:sz w:val="24"/>
          <w:szCs w:val="24"/>
        </w:rPr>
        <w:t>2 – IMMOBILISATIONS</w:t>
      </w:r>
    </w:p>
    <w:p w:rsidR="001A7082" w:rsidRPr="00F80018" w:rsidRDefault="001A7082" w:rsidP="001A7082">
      <w:pPr>
        <w:jc w:val="both"/>
        <w:rPr>
          <w:rFonts w:ascii="Times New Roman" w:hAnsi="Times New Roman" w:cs="Times New Roman"/>
          <w:sz w:val="24"/>
          <w:szCs w:val="24"/>
        </w:rPr>
      </w:pPr>
      <w:r w:rsidRPr="00F80018">
        <w:rPr>
          <w:rFonts w:ascii="Times New Roman" w:hAnsi="Times New Roman" w:cs="Times New Roman"/>
          <w:sz w:val="24"/>
          <w:szCs w:val="24"/>
        </w:rPr>
        <w:t>Les immobilisations ont progressé de Gdes30.773,20 en raison de l’acquisition d’une imprimante jet d’encre et d’un scanner, de chaises pour les Cours de formation et de petits matériels tels que verre, etc.</w:t>
      </w:r>
    </w:p>
    <w:p w:rsidR="001A7082" w:rsidRPr="00F80018" w:rsidRDefault="001A7082" w:rsidP="001A7082">
      <w:pPr>
        <w:jc w:val="both"/>
        <w:rPr>
          <w:rFonts w:ascii="Times New Roman" w:hAnsi="Times New Roman" w:cs="Times New Roman"/>
          <w:sz w:val="24"/>
          <w:szCs w:val="24"/>
        </w:rPr>
      </w:pPr>
      <w:r w:rsidRPr="00F80018">
        <w:rPr>
          <w:rFonts w:ascii="Times New Roman" w:hAnsi="Times New Roman" w:cs="Times New Roman"/>
          <w:sz w:val="24"/>
          <w:szCs w:val="24"/>
        </w:rPr>
        <w:t>D’autre part,  de Gdes2.447.308,34  au 30 septembre 2012,</w:t>
      </w:r>
      <w:r w:rsidRPr="00C349B5">
        <w:rPr>
          <w:rFonts w:ascii="Times New Roman" w:hAnsi="Times New Roman" w:cs="Times New Roman"/>
          <w:sz w:val="24"/>
          <w:szCs w:val="24"/>
        </w:rPr>
        <w:t xml:space="preserve"> </w:t>
      </w:r>
      <w:r w:rsidRPr="00F80018">
        <w:rPr>
          <w:rFonts w:ascii="Times New Roman" w:hAnsi="Times New Roman" w:cs="Times New Roman"/>
          <w:sz w:val="24"/>
          <w:szCs w:val="24"/>
        </w:rPr>
        <w:t xml:space="preserve">l’amortissement accumulé </w:t>
      </w:r>
      <w:r>
        <w:rPr>
          <w:rFonts w:ascii="Times New Roman" w:hAnsi="Times New Roman" w:cs="Times New Roman"/>
          <w:sz w:val="24"/>
          <w:szCs w:val="24"/>
        </w:rPr>
        <w:t xml:space="preserve"> a atteint</w:t>
      </w:r>
      <w:r w:rsidRPr="00F80018">
        <w:rPr>
          <w:rFonts w:ascii="Times New Roman" w:hAnsi="Times New Roman" w:cs="Times New Roman"/>
          <w:sz w:val="24"/>
          <w:szCs w:val="24"/>
        </w:rPr>
        <w:t xml:space="preserve"> Gdes2.705.504,19 au 30 septembre 2013., soit un accroissement de Gdes258.195,85.</w:t>
      </w:r>
    </w:p>
    <w:p w:rsidR="001A7082" w:rsidRPr="00F80018" w:rsidRDefault="001A7082" w:rsidP="001A7082">
      <w:pPr>
        <w:jc w:val="both"/>
        <w:rPr>
          <w:rFonts w:ascii="Times New Roman" w:hAnsi="Times New Roman" w:cs="Times New Roman"/>
          <w:b/>
          <w:sz w:val="24"/>
          <w:szCs w:val="24"/>
        </w:rPr>
      </w:pPr>
      <w:r w:rsidRPr="00F80018">
        <w:rPr>
          <w:rFonts w:ascii="Times New Roman" w:hAnsi="Times New Roman" w:cs="Times New Roman"/>
          <w:b/>
          <w:sz w:val="24"/>
          <w:szCs w:val="24"/>
        </w:rPr>
        <w:t>PASSIF</w:t>
      </w:r>
    </w:p>
    <w:p w:rsidR="001A7082" w:rsidRPr="00F80018" w:rsidRDefault="001A7082" w:rsidP="001A7082">
      <w:pPr>
        <w:jc w:val="both"/>
        <w:rPr>
          <w:rFonts w:ascii="Times New Roman" w:hAnsi="Times New Roman" w:cs="Times New Roman"/>
          <w:sz w:val="24"/>
          <w:szCs w:val="24"/>
        </w:rPr>
      </w:pPr>
      <w:r w:rsidRPr="00F80018">
        <w:rPr>
          <w:rFonts w:ascii="Times New Roman" w:hAnsi="Times New Roman" w:cs="Times New Roman"/>
          <w:sz w:val="24"/>
          <w:szCs w:val="24"/>
        </w:rPr>
        <w:t>Le Passif est essentiellement constitué de provisions pour Fonds de pension, du capital et des réserves ainsi que des versements sur l’Impôt sur le Revenu, qui arrivent à échéance le 10 octobre 2013 et des Cotisations à l’ONA.</w:t>
      </w:r>
    </w:p>
    <w:p w:rsidR="001A7082" w:rsidRPr="00F80018" w:rsidRDefault="001A7082" w:rsidP="001A7082">
      <w:pPr>
        <w:jc w:val="both"/>
        <w:rPr>
          <w:rFonts w:ascii="Times New Roman" w:hAnsi="Times New Roman" w:cs="Times New Roman"/>
          <w:sz w:val="24"/>
          <w:szCs w:val="24"/>
        </w:rPr>
      </w:pPr>
      <w:r w:rsidRPr="00F80018">
        <w:rPr>
          <w:rFonts w:ascii="Times New Roman" w:hAnsi="Times New Roman" w:cs="Times New Roman"/>
          <w:sz w:val="24"/>
          <w:szCs w:val="24"/>
        </w:rPr>
        <w:lastRenderedPageBreak/>
        <w:t>Les Provisions  pour Fonds de Retraite ont stagné à Gdes1.255.435,42  par suite de l’inactivité du Compte de Retraite à la SOGEBANK.</w:t>
      </w:r>
      <w:r>
        <w:rPr>
          <w:rFonts w:ascii="Times New Roman" w:hAnsi="Times New Roman" w:cs="Times New Roman"/>
          <w:sz w:val="24"/>
          <w:szCs w:val="24"/>
        </w:rPr>
        <w:t xml:space="preserve"> Il est suggéré de déclasser ce poste du Bilan, étant donné que, depuis deux années, aucune cotisation n’est perçue. De plus, ce sont des comptes individuel</w:t>
      </w:r>
      <w:r w:rsidR="002833A0">
        <w:rPr>
          <w:rFonts w:ascii="Times New Roman" w:hAnsi="Times New Roman" w:cs="Times New Roman"/>
          <w:sz w:val="24"/>
          <w:szCs w:val="24"/>
        </w:rPr>
        <w:t xml:space="preserve">s ouverts au nom des employés qui </w:t>
      </w:r>
      <w:r w:rsidR="00BD7C7C">
        <w:rPr>
          <w:rFonts w:ascii="Times New Roman" w:hAnsi="Times New Roman" w:cs="Times New Roman"/>
          <w:sz w:val="24"/>
          <w:szCs w:val="24"/>
        </w:rPr>
        <w:t>r</w:t>
      </w:r>
      <w:r w:rsidR="002833A0">
        <w:rPr>
          <w:rFonts w:ascii="Times New Roman" w:hAnsi="Times New Roman" w:cs="Times New Roman"/>
          <w:sz w:val="24"/>
          <w:szCs w:val="24"/>
        </w:rPr>
        <w:t>isquent</w:t>
      </w:r>
      <w:r w:rsidR="00BD7C7C">
        <w:rPr>
          <w:rFonts w:ascii="Times New Roman" w:hAnsi="Times New Roman" w:cs="Times New Roman"/>
          <w:sz w:val="24"/>
          <w:szCs w:val="24"/>
        </w:rPr>
        <w:t xml:space="preserve"> de devenir des comptes inactifs.</w:t>
      </w:r>
    </w:p>
    <w:p w:rsidR="001A7082" w:rsidRDefault="001A7082" w:rsidP="001A7082">
      <w:pPr>
        <w:jc w:val="both"/>
        <w:rPr>
          <w:rFonts w:ascii="Times New Roman" w:hAnsi="Times New Roman" w:cs="Times New Roman"/>
          <w:sz w:val="24"/>
          <w:szCs w:val="24"/>
        </w:rPr>
      </w:pPr>
      <w:r w:rsidRPr="00F80018">
        <w:rPr>
          <w:rFonts w:ascii="Times New Roman" w:hAnsi="Times New Roman" w:cs="Times New Roman"/>
          <w:sz w:val="24"/>
          <w:szCs w:val="24"/>
        </w:rPr>
        <w:t>Les Fonds Propres, constitué</w:t>
      </w:r>
      <w:r>
        <w:rPr>
          <w:rFonts w:ascii="Times New Roman" w:hAnsi="Times New Roman" w:cs="Times New Roman"/>
          <w:sz w:val="24"/>
          <w:szCs w:val="24"/>
        </w:rPr>
        <w:t>s</w:t>
      </w:r>
      <w:r w:rsidRPr="00F80018">
        <w:rPr>
          <w:rFonts w:ascii="Times New Roman" w:hAnsi="Times New Roman" w:cs="Times New Roman"/>
          <w:sz w:val="24"/>
          <w:szCs w:val="24"/>
        </w:rPr>
        <w:t xml:space="preserve"> du total Equity (Droits des Créanciers et des Propriétaires) après déduction des Fonds de Retraite, sont passés de Gdes4.026.975,64  au 30 septembre 2012 à Gdes4.034.459,29 au 30 septembre 2013. </w:t>
      </w:r>
    </w:p>
    <w:p w:rsidR="001A7082" w:rsidRDefault="001A7082" w:rsidP="001A7082">
      <w:pPr>
        <w:spacing w:line="240" w:lineRule="auto"/>
        <w:jc w:val="center"/>
        <w:rPr>
          <w:rFonts w:ascii="Times New Roman" w:hAnsi="Times New Roman" w:cs="Times New Roman"/>
          <w:b/>
          <w:sz w:val="18"/>
          <w:szCs w:val="18"/>
        </w:rPr>
      </w:pPr>
    </w:p>
    <w:p w:rsidR="001A7082" w:rsidRDefault="001A7082" w:rsidP="001A7082">
      <w:pPr>
        <w:spacing w:line="240" w:lineRule="auto"/>
        <w:jc w:val="center"/>
        <w:rPr>
          <w:rFonts w:ascii="Times New Roman" w:hAnsi="Times New Roman" w:cs="Times New Roman"/>
          <w:b/>
          <w:sz w:val="18"/>
          <w:szCs w:val="18"/>
        </w:rPr>
      </w:pPr>
    </w:p>
    <w:p w:rsidR="001A7082" w:rsidRPr="005610DE" w:rsidRDefault="001A7082" w:rsidP="001A7082">
      <w:pPr>
        <w:spacing w:line="240" w:lineRule="auto"/>
        <w:jc w:val="center"/>
        <w:rPr>
          <w:rFonts w:ascii="Times New Roman" w:hAnsi="Times New Roman" w:cs="Times New Roman"/>
          <w:b/>
          <w:sz w:val="18"/>
          <w:szCs w:val="18"/>
        </w:rPr>
      </w:pPr>
      <w:r w:rsidRPr="005610DE">
        <w:rPr>
          <w:rFonts w:ascii="Times New Roman" w:hAnsi="Times New Roman" w:cs="Times New Roman"/>
          <w:b/>
          <w:sz w:val="18"/>
          <w:szCs w:val="18"/>
        </w:rPr>
        <w:t>ASSOCIATION PROFESSIONNELLE DES BANQUES</w:t>
      </w:r>
    </w:p>
    <w:p w:rsidR="001A7082" w:rsidRPr="005610DE" w:rsidRDefault="001A7082" w:rsidP="001A7082">
      <w:pPr>
        <w:spacing w:line="240" w:lineRule="auto"/>
        <w:jc w:val="center"/>
        <w:rPr>
          <w:rFonts w:ascii="Times New Roman" w:hAnsi="Times New Roman" w:cs="Times New Roman"/>
          <w:b/>
          <w:sz w:val="18"/>
          <w:szCs w:val="18"/>
        </w:rPr>
      </w:pPr>
      <w:r w:rsidRPr="005610DE">
        <w:rPr>
          <w:rFonts w:ascii="Times New Roman" w:hAnsi="Times New Roman" w:cs="Times New Roman"/>
          <w:b/>
          <w:sz w:val="18"/>
          <w:szCs w:val="18"/>
        </w:rPr>
        <w:t>COMPARAISON DU BUDGET ET DES REALISATIONS</w:t>
      </w:r>
    </w:p>
    <w:tbl>
      <w:tblPr>
        <w:tblW w:w="9532" w:type="dxa"/>
        <w:tblInd w:w="108" w:type="dxa"/>
        <w:tblLook w:val="04A0" w:firstRow="1" w:lastRow="0" w:firstColumn="1" w:lastColumn="0" w:noHBand="0" w:noVBand="1"/>
      </w:tblPr>
      <w:tblGrid>
        <w:gridCol w:w="336"/>
        <w:gridCol w:w="336"/>
        <w:gridCol w:w="2996"/>
        <w:gridCol w:w="1416"/>
        <w:gridCol w:w="1516"/>
        <w:gridCol w:w="1536"/>
        <w:gridCol w:w="1396"/>
      </w:tblGrid>
      <w:tr w:rsidR="001A7082" w:rsidRPr="005610DE" w:rsidTr="00E53C7A">
        <w:trPr>
          <w:trHeight w:val="330"/>
        </w:trPr>
        <w:tc>
          <w:tcPr>
            <w:tcW w:w="33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center"/>
              <w:rPr>
                <w:rFonts w:ascii="Arial" w:eastAsia="Times New Roman" w:hAnsi="Arial" w:cs="Arial"/>
                <w:b/>
                <w:bCs/>
                <w:color w:val="000000"/>
                <w:sz w:val="16"/>
                <w:szCs w:val="16"/>
              </w:rPr>
            </w:pPr>
            <w:r>
              <w:rPr>
                <w:rFonts w:ascii="Arial" w:eastAsia="Times New Roman" w:hAnsi="Arial" w:cs="Arial"/>
                <w:b/>
                <w:bCs/>
                <w:noProof/>
                <w:color w:val="000000"/>
                <w:sz w:val="16"/>
                <w:szCs w:val="16"/>
                <w:lang w:val="en-US"/>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914400" cy="228600"/>
                  <wp:effectExtent l="19050" t="0" r="0" b="0"/>
                  <wp:wrapNone/>
                  <wp:docPr id="2" name="FILT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TER" hidden="1"/>
                          <pic:cNvPicPr>
                            <a:picLocks noChangeAspect="1" noChangeArrowheads="1"/>
                          </pic:cNvPicPr>
                        </pic:nvPicPr>
                        <pic:blipFill>
                          <a:blip r:embed="rId8"/>
                          <a:srcRect/>
                          <a:stretch>
                            <a:fillRect/>
                          </a:stretch>
                        </pic:blipFill>
                        <pic:spPr bwMode="auto">
                          <a:xfrm>
                            <a:off x="0" y="0"/>
                            <a:ext cx="914400" cy="228600"/>
                          </a:xfrm>
                          <a:prstGeom prst="rect">
                            <a:avLst/>
                          </a:prstGeom>
                          <a:solidFill>
                            <a:srgbClr val="FFFFFF"/>
                          </a:solidFill>
                          <a:ln w="9525">
                            <a:miter lim="800000"/>
                            <a:headEnd/>
                            <a:tailEnd/>
                          </a:ln>
                        </pic:spPr>
                      </pic:pic>
                    </a:graphicData>
                  </a:graphic>
                </wp:anchor>
              </w:drawing>
            </w:r>
            <w:r>
              <w:rPr>
                <w:rFonts w:ascii="Arial" w:eastAsia="Times New Roman" w:hAnsi="Arial" w:cs="Arial"/>
                <w:b/>
                <w:bCs/>
                <w:noProof/>
                <w:color w:val="000000"/>
                <w:sz w:val="16"/>
                <w:szCs w:val="16"/>
                <w:lang w:val="en-US"/>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914400" cy="228600"/>
                  <wp:effectExtent l="19050" t="0" r="0" b="0"/>
                  <wp:wrapNone/>
                  <wp:docPr id="3" name="HEAD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hidden="1"/>
                          <pic:cNvPicPr>
                            <a:picLocks noChangeAspect="1" noChangeArrowheads="1"/>
                          </pic:cNvPicPr>
                        </pic:nvPicPr>
                        <pic:blipFill>
                          <a:blip r:embed="rId9"/>
                          <a:srcRect/>
                          <a:stretch>
                            <a:fillRect/>
                          </a:stretch>
                        </pic:blipFill>
                        <pic:spPr bwMode="auto">
                          <a:xfrm>
                            <a:off x="0" y="0"/>
                            <a:ext cx="914400" cy="228600"/>
                          </a:xfrm>
                          <a:prstGeom prst="rect">
                            <a:avLst/>
                          </a:prstGeom>
                          <a:solidFill>
                            <a:srgbClr val="FFFFFF"/>
                          </a:solidFill>
                          <a:ln w="9525">
                            <a:miter lim="800000"/>
                            <a:headEnd/>
                            <a:tailEnd/>
                          </a:ln>
                        </pic:spPr>
                      </pic:pic>
                    </a:graphicData>
                  </a:graphic>
                </wp:anchor>
              </w:drawing>
            </w:r>
          </w:p>
        </w:tc>
        <w:tc>
          <w:tcPr>
            <w:tcW w:w="33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center"/>
              <w:rPr>
                <w:rFonts w:ascii="Arial" w:eastAsia="Times New Roman" w:hAnsi="Arial" w:cs="Arial"/>
                <w:b/>
                <w:bCs/>
                <w:color w:val="000000"/>
                <w:sz w:val="16"/>
                <w:szCs w:val="16"/>
              </w:rPr>
            </w:pPr>
          </w:p>
        </w:tc>
        <w:tc>
          <w:tcPr>
            <w:tcW w:w="299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center"/>
              <w:rPr>
                <w:rFonts w:ascii="Arial" w:eastAsia="Times New Roman" w:hAnsi="Arial" w:cs="Arial"/>
                <w:b/>
                <w:bCs/>
                <w:color w:val="000000"/>
                <w:sz w:val="16"/>
                <w:szCs w:val="16"/>
              </w:rPr>
            </w:pPr>
          </w:p>
        </w:tc>
        <w:tc>
          <w:tcPr>
            <w:tcW w:w="1416" w:type="dxa"/>
            <w:tcBorders>
              <w:top w:val="single" w:sz="12" w:space="0" w:color="auto"/>
              <w:left w:val="nil"/>
              <w:bottom w:val="single" w:sz="12" w:space="0" w:color="auto"/>
              <w:right w:val="nil"/>
            </w:tcBorders>
            <w:shd w:val="clear" w:color="auto" w:fill="auto"/>
            <w:noWrap/>
            <w:vAlign w:val="bottom"/>
            <w:hideMark/>
          </w:tcPr>
          <w:p w:rsidR="001A7082" w:rsidRPr="005610DE" w:rsidRDefault="001A7082" w:rsidP="00E53C7A">
            <w:pPr>
              <w:spacing w:after="0" w:line="240" w:lineRule="auto"/>
              <w:jc w:val="center"/>
              <w:rPr>
                <w:rFonts w:ascii="Arial" w:eastAsia="Times New Roman" w:hAnsi="Arial" w:cs="Arial"/>
                <w:b/>
                <w:bCs/>
                <w:color w:val="000000"/>
                <w:sz w:val="16"/>
                <w:szCs w:val="16"/>
                <w:lang w:val="en-US"/>
              </w:rPr>
            </w:pPr>
            <w:r w:rsidRPr="005610DE">
              <w:rPr>
                <w:rFonts w:ascii="Arial" w:eastAsia="Times New Roman" w:hAnsi="Arial" w:cs="Arial"/>
                <w:b/>
                <w:bCs/>
                <w:color w:val="000000"/>
                <w:sz w:val="16"/>
                <w:szCs w:val="16"/>
                <w:lang w:val="en-US"/>
              </w:rPr>
              <w:t>Oct '10 - Sep 11</w:t>
            </w:r>
          </w:p>
        </w:tc>
        <w:tc>
          <w:tcPr>
            <w:tcW w:w="1516" w:type="dxa"/>
            <w:tcBorders>
              <w:top w:val="single" w:sz="12" w:space="0" w:color="auto"/>
              <w:left w:val="nil"/>
              <w:bottom w:val="single" w:sz="12" w:space="0" w:color="auto"/>
              <w:right w:val="nil"/>
            </w:tcBorders>
            <w:shd w:val="clear" w:color="auto" w:fill="auto"/>
            <w:noWrap/>
            <w:vAlign w:val="bottom"/>
            <w:hideMark/>
          </w:tcPr>
          <w:p w:rsidR="001A7082" w:rsidRPr="005610DE" w:rsidRDefault="001A7082" w:rsidP="00E53C7A">
            <w:pPr>
              <w:spacing w:after="0" w:line="240" w:lineRule="auto"/>
              <w:jc w:val="center"/>
              <w:rPr>
                <w:rFonts w:ascii="Arial" w:eastAsia="Times New Roman" w:hAnsi="Arial" w:cs="Arial"/>
                <w:b/>
                <w:bCs/>
                <w:color w:val="000000"/>
                <w:sz w:val="16"/>
                <w:szCs w:val="16"/>
                <w:lang w:val="en-US"/>
              </w:rPr>
            </w:pPr>
            <w:r w:rsidRPr="005610DE">
              <w:rPr>
                <w:rFonts w:ascii="Arial" w:eastAsia="Times New Roman" w:hAnsi="Arial" w:cs="Arial"/>
                <w:b/>
                <w:bCs/>
                <w:color w:val="000000"/>
                <w:sz w:val="16"/>
                <w:szCs w:val="16"/>
                <w:lang w:val="en-US"/>
              </w:rPr>
              <w:t>Oct '11 - Sep 12</w:t>
            </w:r>
          </w:p>
        </w:tc>
        <w:tc>
          <w:tcPr>
            <w:tcW w:w="1536" w:type="dxa"/>
            <w:tcBorders>
              <w:top w:val="single" w:sz="12" w:space="0" w:color="auto"/>
              <w:left w:val="nil"/>
              <w:bottom w:val="single" w:sz="12" w:space="0" w:color="auto"/>
              <w:right w:val="nil"/>
            </w:tcBorders>
            <w:shd w:val="clear" w:color="auto" w:fill="auto"/>
            <w:noWrap/>
            <w:vAlign w:val="bottom"/>
            <w:hideMark/>
          </w:tcPr>
          <w:p w:rsidR="001A7082" w:rsidRPr="005610DE" w:rsidRDefault="001A7082" w:rsidP="00E53C7A">
            <w:pPr>
              <w:spacing w:after="0" w:line="240" w:lineRule="auto"/>
              <w:jc w:val="center"/>
              <w:rPr>
                <w:rFonts w:ascii="Arial" w:eastAsia="Times New Roman" w:hAnsi="Arial" w:cs="Arial"/>
                <w:b/>
                <w:bCs/>
                <w:color w:val="000000"/>
                <w:sz w:val="16"/>
                <w:szCs w:val="16"/>
                <w:lang w:val="en-US"/>
              </w:rPr>
            </w:pPr>
            <w:r w:rsidRPr="005610DE">
              <w:rPr>
                <w:rFonts w:ascii="Arial" w:eastAsia="Times New Roman" w:hAnsi="Arial" w:cs="Arial"/>
                <w:b/>
                <w:bCs/>
                <w:color w:val="000000"/>
                <w:sz w:val="16"/>
                <w:szCs w:val="16"/>
                <w:lang w:val="en-US"/>
              </w:rPr>
              <w:t>Oct '12 - Sep 13</w:t>
            </w:r>
          </w:p>
        </w:tc>
        <w:tc>
          <w:tcPr>
            <w:tcW w:w="1396" w:type="dxa"/>
            <w:tcBorders>
              <w:top w:val="single" w:sz="12" w:space="0" w:color="auto"/>
              <w:left w:val="nil"/>
              <w:bottom w:val="single" w:sz="12" w:space="0" w:color="auto"/>
              <w:right w:val="nil"/>
            </w:tcBorders>
            <w:shd w:val="clear" w:color="auto" w:fill="auto"/>
            <w:noWrap/>
            <w:vAlign w:val="bottom"/>
            <w:hideMark/>
          </w:tcPr>
          <w:p w:rsidR="001A7082" w:rsidRPr="005610DE" w:rsidRDefault="001A7082" w:rsidP="00E53C7A">
            <w:pPr>
              <w:spacing w:after="0" w:line="240" w:lineRule="auto"/>
              <w:jc w:val="center"/>
              <w:rPr>
                <w:rFonts w:ascii="Arial" w:eastAsia="Times New Roman" w:hAnsi="Arial" w:cs="Arial"/>
                <w:b/>
                <w:bCs/>
                <w:color w:val="000000"/>
                <w:sz w:val="16"/>
                <w:szCs w:val="16"/>
                <w:lang w:val="en-US"/>
              </w:rPr>
            </w:pPr>
            <w:r w:rsidRPr="005610DE">
              <w:rPr>
                <w:rFonts w:ascii="Arial" w:eastAsia="Times New Roman" w:hAnsi="Arial" w:cs="Arial"/>
                <w:b/>
                <w:bCs/>
                <w:color w:val="000000"/>
                <w:sz w:val="16"/>
                <w:szCs w:val="16"/>
                <w:lang w:val="en-US"/>
              </w:rPr>
              <w:t>Budget 2012-13</w:t>
            </w:r>
          </w:p>
        </w:tc>
      </w:tr>
      <w:tr w:rsidR="001A7082" w:rsidRPr="005610DE" w:rsidTr="00E53C7A">
        <w:trPr>
          <w:trHeight w:val="330"/>
        </w:trPr>
        <w:tc>
          <w:tcPr>
            <w:tcW w:w="33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p>
        </w:tc>
        <w:tc>
          <w:tcPr>
            <w:tcW w:w="3332" w:type="dxa"/>
            <w:gridSpan w:val="2"/>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r w:rsidRPr="005610DE">
              <w:rPr>
                <w:rFonts w:ascii="Arial" w:eastAsia="Times New Roman" w:hAnsi="Arial" w:cs="Arial"/>
                <w:b/>
                <w:bCs/>
                <w:color w:val="000000"/>
                <w:sz w:val="16"/>
                <w:szCs w:val="16"/>
                <w:lang w:val="en-US"/>
              </w:rPr>
              <w:t>4010 · Cotisations trimestrielles</w:t>
            </w:r>
          </w:p>
        </w:tc>
        <w:tc>
          <w:tcPr>
            <w:tcW w:w="1416" w:type="dxa"/>
            <w:tcBorders>
              <w:top w:val="nil"/>
              <w:left w:val="nil"/>
              <w:bottom w:val="single" w:sz="8" w:space="0" w:color="auto"/>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4,500,000.00</w:t>
            </w:r>
          </w:p>
        </w:tc>
        <w:tc>
          <w:tcPr>
            <w:tcW w:w="1516" w:type="dxa"/>
            <w:tcBorders>
              <w:top w:val="nil"/>
              <w:left w:val="nil"/>
              <w:bottom w:val="single" w:sz="8" w:space="0" w:color="auto"/>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4,860,000.00</w:t>
            </w:r>
          </w:p>
        </w:tc>
        <w:tc>
          <w:tcPr>
            <w:tcW w:w="1536" w:type="dxa"/>
            <w:tcBorders>
              <w:top w:val="nil"/>
              <w:left w:val="nil"/>
              <w:bottom w:val="single" w:sz="8" w:space="0" w:color="auto"/>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5,040,000.00</w:t>
            </w:r>
          </w:p>
        </w:tc>
        <w:tc>
          <w:tcPr>
            <w:tcW w:w="1396" w:type="dxa"/>
            <w:tcBorders>
              <w:top w:val="nil"/>
              <w:left w:val="nil"/>
              <w:bottom w:val="single" w:sz="8" w:space="0" w:color="auto"/>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5,040,000.00</w:t>
            </w:r>
          </w:p>
        </w:tc>
      </w:tr>
      <w:tr w:rsidR="001A7082" w:rsidRPr="005610DE" w:rsidTr="00E53C7A">
        <w:trPr>
          <w:trHeight w:val="300"/>
        </w:trPr>
        <w:tc>
          <w:tcPr>
            <w:tcW w:w="3668" w:type="dxa"/>
            <w:gridSpan w:val="3"/>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r w:rsidRPr="005610DE">
              <w:rPr>
                <w:rFonts w:ascii="Arial" w:eastAsia="Times New Roman" w:hAnsi="Arial" w:cs="Arial"/>
                <w:b/>
                <w:bCs/>
                <w:color w:val="000000"/>
                <w:sz w:val="16"/>
                <w:szCs w:val="16"/>
                <w:lang w:val="en-US"/>
              </w:rPr>
              <w:t>Total 4000 · Revenus</w:t>
            </w:r>
          </w:p>
        </w:tc>
        <w:tc>
          <w:tcPr>
            <w:tcW w:w="141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4,500,000.00</w:t>
            </w:r>
          </w:p>
        </w:tc>
        <w:tc>
          <w:tcPr>
            <w:tcW w:w="151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4,860,000.00</w:t>
            </w:r>
          </w:p>
        </w:tc>
        <w:tc>
          <w:tcPr>
            <w:tcW w:w="153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5,040,000.00</w:t>
            </w:r>
          </w:p>
        </w:tc>
        <w:tc>
          <w:tcPr>
            <w:tcW w:w="139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5,040,000.00</w:t>
            </w:r>
          </w:p>
        </w:tc>
      </w:tr>
      <w:tr w:rsidR="001A7082" w:rsidRPr="005610DE" w:rsidTr="00E53C7A">
        <w:trPr>
          <w:trHeight w:val="300"/>
        </w:trPr>
        <w:tc>
          <w:tcPr>
            <w:tcW w:w="33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p>
        </w:tc>
        <w:tc>
          <w:tcPr>
            <w:tcW w:w="3332" w:type="dxa"/>
            <w:gridSpan w:val="2"/>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r w:rsidRPr="005610DE">
              <w:rPr>
                <w:rFonts w:ascii="Arial" w:eastAsia="Times New Roman" w:hAnsi="Arial" w:cs="Arial"/>
                <w:b/>
                <w:bCs/>
                <w:color w:val="000000"/>
                <w:sz w:val="16"/>
                <w:szCs w:val="16"/>
                <w:lang w:val="en-US"/>
              </w:rPr>
              <w:t>4110 · Cotisations fêtes/ fin d'année</w:t>
            </w:r>
          </w:p>
        </w:tc>
        <w:tc>
          <w:tcPr>
            <w:tcW w:w="141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253,680.75</w:t>
            </w:r>
          </w:p>
        </w:tc>
        <w:tc>
          <w:tcPr>
            <w:tcW w:w="151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color w:val="000000"/>
                <w:sz w:val="16"/>
                <w:szCs w:val="16"/>
                <w:lang w:val="en-US"/>
              </w:rPr>
            </w:pPr>
          </w:p>
        </w:tc>
        <w:tc>
          <w:tcPr>
            <w:tcW w:w="153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138,711.63</w:t>
            </w:r>
          </w:p>
        </w:tc>
        <w:tc>
          <w:tcPr>
            <w:tcW w:w="139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color w:val="000000"/>
                <w:sz w:val="16"/>
                <w:szCs w:val="16"/>
                <w:lang w:val="en-US"/>
              </w:rPr>
            </w:pPr>
          </w:p>
        </w:tc>
      </w:tr>
      <w:tr w:rsidR="001A7082" w:rsidRPr="005610DE" w:rsidTr="00E53C7A">
        <w:trPr>
          <w:trHeight w:val="300"/>
        </w:trPr>
        <w:tc>
          <w:tcPr>
            <w:tcW w:w="33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p>
        </w:tc>
        <w:tc>
          <w:tcPr>
            <w:tcW w:w="3332" w:type="dxa"/>
            <w:gridSpan w:val="2"/>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r w:rsidRPr="005610DE">
              <w:rPr>
                <w:rFonts w:ascii="Arial" w:eastAsia="Times New Roman" w:hAnsi="Arial" w:cs="Arial"/>
                <w:b/>
                <w:bCs/>
                <w:color w:val="000000"/>
                <w:sz w:val="16"/>
                <w:szCs w:val="16"/>
                <w:lang w:val="en-US"/>
              </w:rPr>
              <w:t>4111 · Cours de Formation</w:t>
            </w:r>
          </w:p>
        </w:tc>
        <w:tc>
          <w:tcPr>
            <w:tcW w:w="141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361,312.75</w:t>
            </w:r>
          </w:p>
        </w:tc>
        <w:tc>
          <w:tcPr>
            <w:tcW w:w="151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1,592,467.04</w:t>
            </w:r>
          </w:p>
        </w:tc>
        <w:tc>
          <w:tcPr>
            <w:tcW w:w="153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736,148.77</w:t>
            </w:r>
          </w:p>
        </w:tc>
        <w:tc>
          <w:tcPr>
            <w:tcW w:w="139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709,168.95</w:t>
            </w:r>
          </w:p>
        </w:tc>
      </w:tr>
      <w:tr w:rsidR="001A7082" w:rsidRPr="005610DE" w:rsidTr="00E53C7A">
        <w:trPr>
          <w:trHeight w:val="300"/>
        </w:trPr>
        <w:tc>
          <w:tcPr>
            <w:tcW w:w="33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p>
        </w:tc>
        <w:tc>
          <w:tcPr>
            <w:tcW w:w="3332" w:type="dxa"/>
            <w:gridSpan w:val="2"/>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r w:rsidRPr="005610DE">
              <w:rPr>
                <w:rFonts w:ascii="Arial" w:eastAsia="Times New Roman" w:hAnsi="Arial" w:cs="Arial"/>
                <w:b/>
                <w:bCs/>
                <w:color w:val="000000"/>
                <w:sz w:val="16"/>
                <w:szCs w:val="16"/>
                <w:lang w:val="en-US"/>
              </w:rPr>
              <w:t>4120 · Cotisations Forum Economique</w:t>
            </w:r>
          </w:p>
        </w:tc>
        <w:tc>
          <w:tcPr>
            <w:tcW w:w="141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color w:val="000000"/>
                <w:sz w:val="16"/>
                <w:szCs w:val="16"/>
                <w:lang w:val="en-US"/>
              </w:rPr>
            </w:pPr>
          </w:p>
        </w:tc>
        <w:tc>
          <w:tcPr>
            <w:tcW w:w="151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294,147.00</w:t>
            </w:r>
          </w:p>
        </w:tc>
        <w:tc>
          <w:tcPr>
            <w:tcW w:w="153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301,202.19</w:t>
            </w:r>
          </w:p>
        </w:tc>
        <w:tc>
          <w:tcPr>
            <w:tcW w:w="139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302,750.00</w:t>
            </w:r>
          </w:p>
        </w:tc>
      </w:tr>
      <w:tr w:rsidR="001A7082" w:rsidRPr="005610DE" w:rsidTr="00E53C7A">
        <w:trPr>
          <w:trHeight w:val="315"/>
        </w:trPr>
        <w:tc>
          <w:tcPr>
            <w:tcW w:w="33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p>
        </w:tc>
        <w:tc>
          <w:tcPr>
            <w:tcW w:w="3332" w:type="dxa"/>
            <w:gridSpan w:val="2"/>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r w:rsidRPr="005610DE">
              <w:rPr>
                <w:rFonts w:ascii="Arial" w:eastAsia="Times New Roman" w:hAnsi="Arial" w:cs="Arial"/>
                <w:b/>
                <w:bCs/>
                <w:color w:val="000000"/>
                <w:sz w:val="16"/>
                <w:szCs w:val="16"/>
                <w:lang w:val="en-US"/>
              </w:rPr>
              <w:t>4130 · Gains/pertes de change</w:t>
            </w:r>
          </w:p>
        </w:tc>
        <w:tc>
          <w:tcPr>
            <w:tcW w:w="141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27,818.29</w:t>
            </w:r>
          </w:p>
        </w:tc>
        <w:tc>
          <w:tcPr>
            <w:tcW w:w="151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42,746.29</w:t>
            </w:r>
          </w:p>
        </w:tc>
        <w:tc>
          <w:tcPr>
            <w:tcW w:w="153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45,207.92</w:t>
            </w:r>
          </w:p>
        </w:tc>
        <w:tc>
          <w:tcPr>
            <w:tcW w:w="139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color w:val="000000"/>
                <w:sz w:val="16"/>
                <w:szCs w:val="16"/>
                <w:lang w:val="en-US"/>
              </w:rPr>
            </w:pPr>
          </w:p>
        </w:tc>
      </w:tr>
      <w:tr w:rsidR="001A7082" w:rsidRPr="005610DE" w:rsidTr="00E53C7A">
        <w:trPr>
          <w:trHeight w:val="315"/>
        </w:trPr>
        <w:tc>
          <w:tcPr>
            <w:tcW w:w="3668" w:type="dxa"/>
            <w:gridSpan w:val="3"/>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r w:rsidRPr="005610DE">
              <w:rPr>
                <w:rFonts w:ascii="Arial" w:eastAsia="Times New Roman" w:hAnsi="Arial" w:cs="Arial"/>
                <w:b/>
                <w:bCs/>
                <w:color w:val="000000"/>
                <w:sz w:val="16"/>
                <w:szCs w:val="16"/>
                <w:lang w:val="en-US"/>
              </w:rPr>
              <w:t>Total 4100 · Revenus exceptionnels</w:t>
            </w:r>
          </w:p>
        </w:tc>
        <w:tc>
          <w:tcPr>
            <w:tcW w:w="1416" w:type="dxa"/>
            <w:tcBorders>
              <w:top w:val="single" w:sz="8" w:space="0" w:color="auto"/>
              <w:left w:val="nil"/>
              <w:bottom w:val="single" w:sz="8" w:space="0" w:color="auto"/>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861,344.26</w:t>
            </w:r>
          </w:p>
        </w:tc>
        <w:tc>
          <w:tcPr>
            <w:tcW w:w="1516" w:type="dxa"/>
            <w:tcBorders>
              <w:top w:val="single" w:sz="8" w:space="0" w:color="auto"/>
              <w:left w:val="nil"/>
              <w:bottom w:val="single" w:sz="8" w:space="0" w:color="auto"/>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1,929,360.33</w:t>
            </w:r>
          </w:p>
        </w:tc>
        <w:tc>
          <w:tcPr>
            <w:tcW w:w="1536" w:type="dxa"/>
            <w:tcBorders>
              <w:top w:val="single" w:sz="8" w:space="0" w:color="auto"/>
              <w:left w:val="nil"/>
              <w:bottom w:val="single" w:sz="8" w:space="0" w:color="auto"/>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1,221,270.51</w:t>
            </w:r>
          </w:p>
        </w:tc>
        <w:tc>
          <w:tcPr>
            <w:tcW w:w="1396" w:type="dxa"/>
            <w:tcBorders>
              <w:top w:val="single" w:sz="8" w:space="0" w:color="auto"/>
              <w:left w:val="nil"/>
              <w:bottom w:val="single" w:sz="8" w:space="0" w:color="auto"/>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1,011,918.95</w:t>
            </w:r>
          </w:p>
        </w:tc>
      </w:tr>
      <w:tr w:rsidR="001A7082" w:rsidRPr="005610DE" w:rsidTr="00E53C7A">
        <w:trPr>
          <w:trHeight w:val="300"/>
        </w:trPr>
        <w:tc>
          <w:tcPr>
            <w:tcW w:w="3668" w:type="dxa"/>
            <w:gridSpan w:val="3"/>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r w:rsidRPr="005610DE">
              <w:rPr>
                <w:rFonts w:ascii="Arial" w:eastAsia="Times New Roman" w:hAnsi="Arial" w:cs="Arial"/>
                <w:b/>
                <w:bCs/>
                <w:color w:val="000000"/>
                <w:sz w:val="16"/>
                <w:szCs w:val="16"/>
                <w:lang w:val="en-US"/>
              </w:rPr>
              <w:t>Total Income</w:t>
            </w:r>
          </w:p>
        </w:tc>
        <w:tc>
          <w:tcPr>
            <w:tcW w:w="141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5,361,344.26</w:t>
            </w:r>
          </w:p>
        </w:tc>
        <w:tc>
          <w:tcPr>
            <w:tcW w:w="151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6,789,360.33</w:t>
            </w:r>
          </w:p>
        </w:tc>
        <w:tc>
          <w:tcPr>
            <w:tcW w:w="153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6,261,270.51</w:t>
            </w:r>
          </w:p>
        </w:tc>
        <w:tc>
          <w:tcPr>
            <w:tcW w:w="139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6,051,918.95</w:t>
            </w:r>
          </w:p>
        </w:tc>
      </w:tr>
      <w:tr w:rsidR="001A7082" w:rsidRPr="005610DE" w:rsidTr="00E53C7A">
        <w:trPr>
          <w:trHeight w:val="300"/>
        </w:trPr>
        <w:tc>
          <w:tcPr>
            <w:tcW w:w="33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p>
        </w:tc>
        <w:tc>
          <w:tcPr>
            <w:tcW w:w="3332" w:type="dxa"/>
            <w:gridSpan w:val="2"/>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r w:rsidRPr="005610DE">
              <w:rPr>
                <w:rFonts w:ascii="Arial" w:eastAsia="Times New Roman" w:hAnsi="Arial" w:cs="Arial"/>
                <w:b/>
                <w:bCs/>
                <w:color w:val="000000"/>
                <w:sz w:val="16"/>
                <w:szCs w:val="16"/>
                <w:lang w:val="en-US"/>
              </w:rPr>
              <w:t>6010 · Salaires</w:t>
            </w:r>
          </w:p>
        </w:tc>
        <w:tc>
          <w:tcPr>
            <w:tcW w:w="141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2,039,914.08</w:t>
            </w:r>
          </w:p>
        </w:tc>
        <w:tc>
          <w:tcPr>
            <w:tcW w:w="151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2,345,901.93</w:t>
            </w:r>
          </w:p>
        </w:tc>
        <w:tc>
          <w:tcPr>
            <w:tcW w:w="153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2,563,687.24</w:t>
            </w:r>
          </w:p>
        </w:tc>
        <w:tc>
          <w:tcPr>
            <w:tcW w:w="139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2,580,492.12</w:t>
            </w:r>
          </w:p>
        </w:tc>
      </w:tr>
      <w:tr w:rsidR="001A7082" w:rsidRPr="005610DE" w:rsidTr="00E53C7A">
        <w:trPr>
          <w:trHeight w:val="300"/>
        </w:trPr>
        <w:tc>
          <w:tcPr>
            <w:tcW w:w="33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p>
        </w:tc>
        <w:tc>
          <w:tcPr>
            <w:tcW w:w="3332" w:type="dxa"/>
            <w:gridSpan w:val="2"/>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r w:rsidRPr="005610DE">
              <w:rPr>
                <w:rFonts w:ascii="Arial" w:eastAsia="Times New Roman" w:hAnsi="Arial" w:cs="Arial"/>
                <w:b/>
                <w:bCs/>
                <w:color w:val="000000"/>
                <w:sz w:val="16"/>
                <w:szCs w:val="16"/>
                <w:lang w:val="en-US"/>
              </w:rPr>
              <w:t>6020 · Boni</w:t>
            </w:r>
          </w:p>
        </w:tc>
        <w:tc>
          <w:tcPr>
            <w:tcW w:w="141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171,792.90</w:t>
            </w:r>
          </w:p>
        </w:tc>
        <w:tc>
          <w:tcPr>
            <w:tcW w:w="151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171,792.90</w:t>
            </w:r>
          </w:p>
        </w:tc>
        <w:tc>
          <w:tcPr>
            <w:tcW w:w="153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220,387.38</w:t>
            </w:r>
          </w:p>
        </w:tc>
        <w:tc>
          <w:tcPr>
            <w:tcW w:w="139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195,491.83</w:t>
            </w:r>
          </w:p>
        </w:tc>
      </w:tr>
      <w:tr w:rsidR="001A7082" w:rsidRPr="005610DE" w:rsidTr="00E53C7A">
        <w:trPr>
          <w:trHeight w:val="300"/>
        </w:trPr>
        <w:tc>
          <w:tcPr>
            <w:tcW w:w="33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p>
        </w:tc>
        <w:tc>
          <w:tcPr>
            <w:tcW w:w="3332" w:type="dxa"/>
            <w:gridSpan w:val="2"/>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r w:rsidRPr="005610DE">
              <w:rPr>
                <w:rFonts w:ascii="Arial" w:eastAsia="Times New Roman" w:hAnsi="Arial" w:cs="Arial"/>
                <w:b/>
                <w:bCs/>
                <w:color w:val="000000"/>
                <w:sz w:val="16"/>
                <w:szCs w:val="16"/>
                <w:lang w:val="en-US"/>
              </w:rPr>
              <w:t>6040 · Assurance</w:t>
            </w:r>
          </w:p>
        </w:tc>
        <w:tc>
          <w:tcPr>
            <w:tcW w:w="141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121,518.37</w:t>
            </w:r>
          </w:p>
        </w:tc>
        <w:tc>
          <w:tcPr>
            <w:tcW w:w="151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102,254.52</w:t>
            </w:r>
          </w:p>
        </w:tc>
        <w:tc>
          <w:tcPr>
            <w:tcW w:w="153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79,864.64</w:t>
            </w:r>
          </w:p>
        </w:tc>
        <w:tc>
          <w:tcPr>
            <w:tcW w:w="139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102,254.52</w:t>
            </w:r>
          </w:p>
        </w:tc>
      </w:tr>
      <w:tr w:rsidR="001A7082" w:rsidRPr="005610DE" w:rsidTr="00E53C7A">
        <w:trPr>
          <w:trHeight w:val="300"/>
        </w:trPr>
        <w:tc>
          <w:tcPr>
            <w:tcW w:w="33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p>
        </w:tc>
        <w:tc>
          <w:tcPr>
            <w:tcW w:w="3332" w:type="dxa"/>
            <w:gridSpan w:val="2"/>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r w:rsidRPr="005610DE">
              <w:rPr>
                <w:rFonts w:ascii="Arial" w:eastAsia="Times New Roman" w:hAnsi="Arial" w:cs="Arial"/>
                <w:b/>
                <w:bCs/>
                <w:color w:val="000000"/>
                <w:sz w:val="16"/>
                <w:szCs w:val="16"/>
                <w:lang w:val="en-US"/>
              </w:rPr>
              <w:t>6051 · Epargnee-Pension ONA</w:t>
            </w:r>
          </w:p>
        </w:tc>
        <w:tc>
          <w:tcPr>
            <w:tcW w:w="141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81,594.00</w:t>
            </w:r>
          </w:p>
        </w:tc>
        <w:tc>
          <w:tcPr>
            <w:tcW w:w="151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1,116,047.96</w:t>
            </w:r>
          </w:p>
        </w:tc>
        <w:tc>
          <w:tcPr>
            <w:tcW w:w="153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152,202.87</w:t>
            </w:r>
          </w:p>
        </w:tc>
        <w:tc>
          <w:tcPr>
            <w:tcW w:w="139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154,829.53</w:t>
            </w:r>
          </w:p>
        </w:tc>
      </w:tr>
      <w:tr w:rsidR="001A7082" w:rsidRPr="005610DE" w:rsidTr="00E53C7A">
        <w:trPr>
          <w:trHeight w:val="300"/>
        </w:trPr>
        <w:tc>
          <w:tcPr>
            <w:tcW w:w="33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p>
        </w:tc>
        <w:tc>
          <w:tcPr>
            <w:tcW w:w="3332" w:type="dxa"/>
            <w:gridSpan w:val="2"/>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r w:rsidRPr="005610DE">
              <w:rPr>
                <w:rFonts w:ascii="Arial" w:eastAsia="Times New Roman" w:hAnsi="Arial" w:cs="Arial"/>
                <w:b/>
                <w:bCs/>
                <w:color w:val="000000"/>
                <w:sz w:val="16"/>
                <w:szCs w:val="16"/>
                <w:lang w:val="en-US"/>
              </w:rPr>
              <w:t>6052 - Assurance OFATMA</w:t>
            </w:r>
          </w:p>
        </w:tc>
        <w:tc>
          <w:tcPr>
            <w:tcW w:w="141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color w:val="000000"/>
                <w:sz w:val="16"/>
                <w:szCs w:val="16"/>
                <w:lang w:val="en-US"/>
              </w:rPr>
            </w:pPr>
          </w:p>
        </w:tc>
        <w:tc>
          <w:tcPr>
            <w:tcW w:w="151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color w:val="000000"/>
                <w:sz w:val="16"/>
                <w:szCs w:val="16"/>
                <w:lang w:val="en-US"/>
              </w:rPr>
            </w:pPr>
          </w:p>
        </w:tc>
        <w:tc>
          <w:tcPr>
            <w:tcW w:w="153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0.00</w:t>
            </w:r>
          </w:p>
        </w:tc>
        <w:tc>
          <w:tcPr>
            <w:tcW w:w="139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51,609.84</w:t>
            </w:r>
          </w:p>
        </w:tc>
      </w:tr>
      <w:tr w:rsidR="001A7082" w:rsidRPr="005610DE" w:rsidTr="00E53C7A">
        <w:trPr>
          <w:trHeight w:val="300"/>
        </w:trPr>
        <w:tc>
          <w:tcPr>
            <w:tcW w:w="33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p>
        </w:tc>
        <w:tc>
          <w:tcPr>
            <w:tcW w:w="3332" w:type="dxa"/>
            <w:gridSpan w:val="2"/>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r w:rsidRPr="005610DE">
              <w:rPr>
                <w:rFonts w:ascii="Arial" w:eastAsia="Times New Roman" w:hAnsi="Arial" w:cs="Arial"/>
                <w:b/>
                <w:bCs/>
                <w:color w:val="000000"/>
                <w:sz w:val="16"/>
                <w:szCs w:val="16"/>
                <w:lang w:val="en-US"/>
              </w:rPr>
              <w:t>6060 · Personnel remplaçant</w:t>
            </w:r>
          </w:p>
        </w:tc>
        <w:tc>
          <w:tcPr>
            <w:tcW w:w="141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500.00</w:t>
            </w:r>
          </w:p>
        </w:tc>
        <w:tc>
          <w:tcPr>
            <w:tcW w:w="151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1,454.75</w:t>
            </w:r>
          </w:p>
        </w:tc>
        <w:tc>
          <w:tcPr>
            <w:tcW w:w="153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1,600.00</w:t>
            </w:r>
          </w:p>
        </w:tc>
        <w:tc>
          <w:tcPr>
            <w:tcW w:w="139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1,454.75</w:t>
            </w:r>
          </w:p>
        </w:tc>
      </w:tr>
      <w:tr w:rsidR="001A7082" w:rsidRPr="005610DE" w:rsidTr="00E53C7A">
        <w:trPr>
          <w:trHeight w:val="315"/>
        </w:trPr>
        <w:tc>
          <w:tcPr>
            <w:tcW w:w="33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p>
        </w:tc>
        <w:tc>
          <w:tcPr>
            <w:tcW w:w="3332" w:type="dxa"/>
            <w:gridSpan w:val="2"/>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r w:rsidRPr="005610DE">
              <w:rPr>
                <w:rFonts w:ascii="Arial" w:eastAsia="Times New Roman" w:hAnsi="Arial" w:cs="Arial"/>
                <w:b/>
                <w:bCs/>
                <w:color w:val="000000"/>
                <w:sz w:val="16"/>
                <w:szCs w:val="16"/>
                <w:lang w:val="en-US"/>
              </w:rPr>
              <w:t>6061 · Plan carburant</w:t>
            </w:r>
          </w:p>
        </w:tc>
        <w:tc>
          <w:tcPr>
            <w:tcW w:w="1416" w:type="dxa"/>
            <w:tcBorders>
              <w:top w:val="nil"/>
              <w:left w:val="nil"/>
              <w:bottom w:val="single" w:sz="8" w:space="0" w:color="auto"/>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84,300.00</w:t>
            </w:r>
          </w:p>
        </w:tc>
        <w:tc>
          <w:tcPr>
            <w:tcW w:w="1516" w:type="dxa"/>
            <w:tcBorders>
              <w:top w:val="nil"/>
              <w:left w:val="nil"/>
              <w:bottom w:val="single" w:sz="8" w:space="0" w:color="auto"/>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118,100.00</w:t>
            </w:r>
          </w:p>
        </w:tc>
        <w:tc>
          <w:tcPr>
            <w:tcW w:w="1536" w:type="dxa"/>
            <w:tcBorders>
              <w:top w:val="nil"/>
              <w:left w:val="nil"/>
              <w:bottom w:val="single" w:sz="8" w:space="0" w:color="auto"/>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120,000.00</w:t>
            </w:r>
          </w:p>
        </w:tc>
        <w:tc>
          <w:tcPr>
            <w:tcW w:w="1396" w:type="dxa"/>
            <w:tcBorders>
              <w:top w:val="nil"/>
              <w:left w:val="nil"/>
              <w:bottom w:val="single" w:sz="8" w:space="0" w:color="auto"/>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120,000.00</w:t>
            </w:r>
          </w:p>
        </w:tc>
      </w:tr>
      <w:tr w:rsidR="001A7082" w:rsidRPr="005610DE" w:rsidTr="00E53C7A">
        <w:trPr>
          <w:trHeight w:val="300"/>
        </w:trPr>
        <w:tc>
          <w:tcPr>
            <w:tcW w:w="3668" w:type="dxa"/>
            <w:gridSpan w:val="3"/>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r w:rsidRPr="005610DE">
              <w:rPr>
                <w:rFonts w:ascii="Arial" w:eastAsia="Times New Roman" w:hAnsi="Arial" w:cs="Arial"/>
                <w:b/>
                <w:bCs/>
                <w:color w:val="000000"/>
                <w:sz w:val="16"/>
                <w:szCs w:val="16"/>
                <w:lang w:val="en-US"/>
              </w:rPr>
              <w:t>Total 6000 · Charges de personnel</w:t>
            </w:r>
          </w:p>
        </w:tc>
        <w:tc>
          <w:tcPr>
            <w:tcW w:w="141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2,499,619.35</w:t>
            </w:r>
          </w:p>
        </w:tc>
        <w:tc>
          <w:tcPr>
            <w:tcW w:w="151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3,855,552.06</w:t>
            </w:r>
          </w:p>
        </w:tc>
        <w:tc>
          <w:tcPr>
            <w:tcW w:w="153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3,137,742.13</w:t>
            </w:r>
          </w:p>
        </w:tc>
        <w:tc>
          <w:tcPr>
            <w:tcW w:w="139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3,206,132.59</w:t>
            </w:r>
          </w:p>
        </w:tc>
      </w:tr>
      <w:tr w:rsidR="001A7082" w:rsidRPr="005610DE" w:rsidTr="00E53C7A">
        <w:trPr>
          <w:trHeight w:val="300"/>
        </w:trPr>
        <w:tc>
          <w:tcPr>
            <w:tcW w:w="33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p>
        </w:tc>
        <w:tc>
          <w:tcPr>
            <w:tcW w:w="3332" w:type="dxa"/>
            <w:gridSpan w:val="2"/>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r w:rsidRPr="005610DE">
              <w:rPr>
                <w:rFonts w:ascii="Arial" w:eastAsia="Times New Roman" w:hAnsi="Arial" w:cs="Arial"/>
                <w:b/>
                <w:bCs/>
                <w:color w:val="000000"/>
                <w:sz w:val="16"/>
                <w:szCs w:val="16"/>
                <w:lang w:val="en-US"/>
              </w:rPr>
              <w:t>6110 · Consultants</w:t>
            </w:r>
          </w:p>
        </w:tc>
        <w:tc>
          <w:tcPr>
            <w:tcW w:w="141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483,687.15</w:t>
            </w:r>
          </w:p>
        </w:tc>
        <w:tc>
          <w:tcPr>
            <w:tcW w:w="151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556,240.90</w:t>
            </w:r>
          </w:p>
        </w:tc>
        <w:tc>
          <w:tcPr>
            <w:tcW w:w="153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611,865.60</w:t>
            </w:r>
          </w:p>
        </w:tc>
        <w:tc>
          <w:tcPr>
            <w:tcW w:w="139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611,864.99</w:t>
            </w:r>
          </w:p>
        </w:tc>
      </w:tr>
      <w:tr w:rsidR="001A7082" w:rsidRPr="005610DE" w:rsidTr="00E53C7A">
        <w:trPr>
          <w:trHeight w:val="300"/>
        </w:trPr>
        <w:tc>
          <w:tcPr>
            <w:tcW w:w="33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p>
        </w:tc>
        <w:tc>
          <w:tcPr>
            <w:tcW w:w="3332" w:type="dxa"/>
            <w:gridSpan w:val="2"/>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r w:rsidRPr="005610DE">
              <w:rPr>
                <w:rFonts w:ascii="Arial" w:eastAsia="Times New Roman" w:hAnsi="Arial" w:cs="Arial"/>
                <w:b/>
                <w:bCs/>
                <w:color w:val="000000"/>
                <w:sz w:val="16"/>
                <w:szCs w:val="16"/>
                <w:lang w:val="en-US"/>
              </w:rPr>
              <w:t>6111 · Loyers</w:t>
            </w:r>
          </w:p>
        </w:tc>
        <w:tc>
          <w:tcPr>
            <w:tcW w:w="141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585,420.00</w:t>
            </w:r>
          </w:p>
        </w:tc>
        <w:tc>
          <w:tcPr>
            <w:tcW w:w="151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833,970.83</w:t>
            </w:r>
          </w:p>
        </w:tc>
        <w:tc>
          <w:tcPr>
            <w:tcW w:w="153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887,347.87</w:t>
            </w:r>
          </w:p>
        </w:tc>
        <w:tc>
          <w:tcPr>
            <w:tcW w:w="139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887,400.00</w:t>
            </w:r>
          </w:p>
        </w:tc>
      </w:tr>
      <w:tr w:rsidR="001A7082" w:rsidRPr="005610DE" w:rsidTr="00E53C7A">
        <w:trPr>
          <w:trHeight w:val="300"/>
        </w:trPr>
        <w:tc>
          <w:tcPr>
            <w:tcW w:w="33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p>
        </w:tc>
        <w:tc>
          <w:tcPr>
            <w:tcW w:w="3332" w:type="dxa"/>
            <w:gridSpan w:val="2"/>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rPr>
            </w:pPr>
            <w:r w:rsidRPr="005610DE">
              <w:rPr>
                <w:rFonts w:ascii="Arial" w:eastAsia="Times New Roman" w:hAnsi="Arial" w:cs="Arial"/>
                <w:b/>
                <w:bCs/>
                <w:color w:val="000000"/>
                <w:sz w:val="16"/>
                <w:szCs w:val="16"/>
              </w:rPr>
              <w:t>6112 · Entretien-Répar. mat. et équip.</w:t>
            </w:r>
          </w:p>
        </w:tc>
        <w:tc>
          <w:tcPr>
            <w:tcW w:w="141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140,291.50</w:t>
            </w:r>
          </w:p>
        </w:tc>
        <w:tc>
          <w:tcPr>
            <w:tcW w:w="151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168,631.90</w:t>
            </w:r>
          </w:p>
        </w:tc>
        <w:tc>
          <w:tcPr>
            <w:tcW w:w="153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63,751.38</w:t>
            </w:r>
          </w:p>
        </w:tc>
        <w:tc>
          <w:tcPr>
            <w:tcW w:w="139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61,701.07</w:t>
            </w:r>
          </w:p>
        </w:tc>
      </w:tr>
      <w:tr w:rsidR="001A7082" w:rsidRPr="005610DE" w:rsidTr="00E53C7A">
        <w:trPr>
          <w:trHeight w:val="300"/>
        </w:trPr>
        <w:tc>
          <w:tcPr>
            <w:tcW w:w="33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p>
        </w:tc>
        <w:tc>
          <w:tcPr>
            <w:tcW w:w="3332" w:type="dxa"/>
            <w:gridSpan w:val="2"/>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r w:rsidRPr="005610DE">
              <w:rPr>
                <w:rFonts w:ascii="Arial" w:eastAsia="Times New Roman" w:hAnsi="Arial" w:cs="Arial"/>
                <w:b/>
                <w:bCs/>
                <w:color w:val="000000"/>
                <w:sz w:val="16"/>
                <w:szCs w:val="16"/>
                <w:lang w:val="en-US"/>
              </w:rPr>
              <w:t>6113 · Entretien-Répar. de véhicule</w:t>
            </w:r>
          </w:p>
        </w:tc>
        <w:tc>
          <w:tcPr>
            <w:tcW w:w="141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197,551.38</w:t>
            </w:r>
          </w:p>
        </w:tc>
        <w:tc>
          <w:tcPr>
            <w:tcW w:w="151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45,844.25</w:t>
            </w:r>
          </w:p>
        </w:tc>
        <w:tc>
          <w:tcPr>
            <w:tcW w:w="153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43,022.20</w:t>
            </w:r>
          </w:p>
        </w:tc>
        <w:tc>
          <w:tcPr>
            <w:tcW w:w="139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96,111.02</w:t>
            </w:r>
          </w:p>
        </w:tc>
      </w:tr>
      <w:tr w:rsidR="001A7082" w:rsidRPr="005610DE" w:rsidTr="00E53C7A">
        <w:trPr>
          <w:trHeight w:val="300"/>
        </w:trPr>
        <w:tc>
          <w:tcPr>
            <w:tcW w:w="33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p>
        </w:tc>
        <w:tc>
          <w:tcPr>
            <w:tcW w:w="3332" w:type="dxa"/>
            <w:gridSpan w:val="2"/>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r w:rsidRPr="005610DE">
              <w:rPr>
                <w:rFonts w:ascii="Arial" w:eastAsia="Times New Roman" w:hAnsi="Arial" w:cs="Arial"/>
                <w:b/>
                <w:bCs/>
                <w:color w:val="000000"/>
                <w:sz w:val="16"/>
                <w:szCs w:val="16"/>
                <w:lang w:val="en-US"/>
              </w:rPr>
              <w:t>6114 · Entretien-Sécurité des locaux</w:t>
            </w:r>
          </w:p>
        </w:tc>
        <w:tc>
          <w:tcPr>
            <w:tcW w:w="141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80,383.50</w:t>
            </w:r>
          </w:p>
        </w:tc>
        <w:tc>
          <w:tcPr>
            <w:tcW w:w="151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148,337.00</w:t>
            </w:r>
          </w:p>
        </w:tc>
        <w:tc>
          <w:tcPr>
            <w:tcW w:w="153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126,313.56</w:t>
            </w:r>
          </w:p>
        </w:tc>
        <w:tc>
          <w:tcPr>
            <w:tcW w:w="139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79,895.09</w:t>
            </w:r>
          </w:p>
        </w:tc>
      </w:tr>
      <w:tr w:rsidR="001A7082" w:rsidRPr="005610DE" w:rsidTr="00E53C7A">
        <w:trPr>
          <w:trHeight w:val="300"/>
        </w:trPr>
        <w:tc>
          <w:tcPr>
            <w:tcW w:w="33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p>
        </w:tc>
        <w:tc>
          <w:tcPr>
            <w:tcW w:w="299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r w:rsidRPr="005610DE">
              <w:rPr>
                <w:rFonts w:ascii="Arial" w:eastAsia="Times New Roman" w:hAnsi="Arial" w:cs="Arial"/>
                <w:b/>
                <w:bCs/>
                <w:color w:val="000000"/>
                <w:sz w:val="16"/>
                <w:szCs w:val="16"/>
                <w:lang w:val="en-US"/>
              </w:rPr>
              <w:t>6115.1 Fêtes de fin d'Année</w:t>
            </w:r>
          </w:p>
        </w:tc>
        <w:tc>
          <w:tcPr>
            <w:tcW w:w="141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color w:val="000000"/>
                <w:sz w:val="16"/>
                <w:szCs w:val="16"/>
                <w:lang w:val="en-US"/>
              </w:rPr>
            </w:pPr>
          </w:p>
        </w:tc>
        <w:tc>
          <w:tcPr>
            <w:tcW w:w="151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color w:val="000000"/>
                <w:sz w:val="16"/>
                <w:szCs w:val="16"/>
                <w:lang w:val="en-US"/>
              </w:rPr>
            </w:pPr>
          </w:p>
        </w:tc>
        <w:tc>
          <w:tcPr>
            <w:tcW w:w="153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138,736.17</w:t>
            </w:r>
          </w:p>
        </w:tc>
        <w:tc>
          <w:tcPr>
            <w:tcW w:w="139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color w:val="000000"/>
                <w:sz w:val="16"/>
                <w:szCs w:val="16"/>
                <w:lang w:val="en-US"/>
              </w:rPr>
            </w:pPr>
          </w:p>
        </w:tc>
      </w:tr>
      <w:tr w:rsidR="001A7082" w:rsidRPr="005610DE" w:rsidTr="00E53C7A">
        <w:trPr>
          <w:trHeight w:val="300"/>
        </w:trPr>
        <w:tc>
          <w:tcPr>
            <w:tcW w:w="33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p>
        </w:tc>
        <w:tc>
          <w:tcPr>
            <w:tcW w:w="299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r w:rsidRPr="005610DE">
              <w:rPr>
                <w:rFonts w:ascii="Arial" w:eastAsia="Times New Roman" w:hAnsi="Arial" w:cs="Arial"/>
                <w:b/>
                <w:bCs/>
                <w:color w:val="000000"/>
                <w:sz w:val="16"/>
                <w:szCs w:val="16"/>
                <w:lang w:val="en-US"/>
              </w:rPr>
              <w:t>6115.2 Forum Economique</w:t>
            </w:r>
          </w:p>
        </w:tc>
        <w:tc>
          <w:tcPr>
            <w:tcW w:w="141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color w:val="000000"/>
                <w:sz w:val="16"/>
                <w:szCs w:val="16"/>
                <w:lang w:val="en-US"/>
              </w:rPr>
            </w:pPr>
          </w:p>
        </w:tc>
        <w:tc>
          <w:tcPr>
            <w:tcW w:w="151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308,502.98</w:t>
            </w:r>
          </w:p>
        </w:tc>
        <w:tc>
          <w:tcPr>
            <w:tcW w:w="153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304,500.00</w:t>
            </w:r>
          </w:p>
        </w:tc>
        <w:tc>
          <w:tcPr>
            <w:tcW w:w="139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302,500.00</w:t>
            </w:r>
          </w:p>
        </w:tc>
      </w:tr>
      <w:tr w:rsidR="001A7082" w:rsidRPr="005610DE" w:rsidTr="00E53C7A">
        <w:trPr>
          <w:trHeight w:val="300"/>
        </w:trPr>
        <w:tc>
          <w:tcPr>
            <w:tcW w:w="33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p>
        </w:tc>
        <w:tc>
          <w:tcPr>
            <w:tcW w:w="3332" w:type="dxa"/>
            <w:gridSpan w:val="2"/>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r w:rsidRPr="005610DE">
              <w:rPr>
                <w:rFonts w:ascii="Arial" w:eastAsia="Times New Roman" w:hAnsi="Arial" w:cs="Arial"/>
                <w:b/>
                <w:bCs/>
                <w:color w:val="000000"/>
                <w:sz w:val="16"/>
                <w:szCs w:val="16"/>
                <w:lang w:val="en-US"/>
              </w:rPr>
              <w:t>Total 6115 · Relations publiques</w:t>
            </w:r>
          </w:p>
        </w:tc>
        <w:tc>
          <w:tcPr>
            <w:tcW w:w="141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310,250.00</w:t>
            </w:r>
          </w:p>
        </w:tc>
        <w:tc>
          <w:tcPr>
            <w:tcW w:w="151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308,502.98</w:t>
            </w:r>
          </w:p>
        </w:tc>
        <w:tc>
          <w:tcPr>
            <w:tcW w:w="153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443,236.17</w:t>
            </w:r>
          </w:p>
        </w:tc>
        <w:tc>
          <w:tcPr>
            <w:tcW w:w="139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302,500.00</w:t>
            </w:r>
          </w:p>
        </w:tc>
      </w:tr>
      <w:tr w:rsidR="001A7082" w:rsidRPr="005610DE" w:rsidTr="00E53C7A">
        <w:trPr>
          <w:trHeight w:val="300"/>
        </w:trPr>
        <w:tc>
          <w:tcPr>
            <w:tcW w:w="33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p>
        </w:tc>
        <w:tc>
          <w:tcPr>
            <w:tcW w:w="3332" w:type="dxa"/>
            <w:gridSpan w:val="2"/>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r w:rsidRPr="005610DE">
              <w:rPr>
                <w:rFonts w:ascii="Arial" w:eastAsia="Times New Roman" w:hAnsi="Arial" w:cs="Arial"/>
                <w:b/>
                <w:bCs/>
                <w:color w:val="000000"/>
                <w:sz w:val="16"/>
                <w:szCs w:val="16"/>
                <w:lang w:val="en-US"/>
              </w:rPr>
              <w:t>6116 · Frais Radio -Télécommunications</w:t>
            </w:r>
          </w:p>
        </w:tc>
        <w:tc>
          <w:tcPr>
            <w:tcW w:w="141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31,713.00</w:t>
            </w:r>
          </w:p>
        </w:tc>
        <w:tc>
          <w:tcPr>
            <w:tcW w:w="151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96,282.60</w:t>
            </w:r>
          </w:p>
        </w:tc>
        <w:tc>
          <w:tcPr>
            <w:tcW w:w="153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55,282.00</w:t>
            </w:r>
          </w:p>
        </w:tc>
        <w:tc>
          <w:tcPr>
            <w:tcW w:w="139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60,000.00</w:t>
            </w:r>
          </w:p>
        </w:tc>
      </w:tr>
      <w:tr w:rsidR="001A7082" w:rsidRPr="005610DE" w:rsidTr="00E53C7A">
        <w:trPr>
          <w:trHeight w:val="300"/>
        </w:trPr>
        <w:tc>
          <w:tcPr>
            <w:tcW w:w="33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p>
        </w:tc>
        <w:tc>
          <w:tcPr>
            <w:tcW w:w="3332" w:type="dxa"/>
            <w:gridSpan w:val="2"/>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r w:rsidRPr="005610DE">
              <w:rPr>
                <w:rFonts w:ascii="Arial" w:eastAsia="Times New Roman" w:hAnsi="Arial" w:cs="Arial"/>
                <w:b/>
                <w:bCs/>
                <w:color w:val="000000"/>
                <w:sz w:val="16"/>
                <w:szCs w:val="16"/>
                <w:lang w:val="en-US"/>
              </w:rPr>
              <w:t>6117 · Déplacement, réunion, séminaire</w:t>
            </w:r>
          </w:p>
        </w:tc>
        <w:tc>
          <w:tcPr>
            <w:tcW w:w="141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50,776.00</w:t>
            </w:r>
          </w:p>
        </w:tc>
        <w:tc>
          <w:tcPr>
            <w:tcW w:w="151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95,541.84</w:t>
            </w:r>
          </w:p>
        </w:tc>
        <w:tc>
          <w:tcPr>
            <w:tcW w:w="153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124,311.67</w:t>
            </w:r>
          </w:p>
        </w:tc>
        <w:tc>
          <w:tcPr>
            <w:tcW w:w="139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100,000.00</w:t>
            </w:r>
          </w:p>
        </w:tc>
      </w:tr>
      <w:tr w:rsidR="001A7082" w:rsidRPr="005610DE" w:rsidTr="00E53C7A">
        <w:trPr>
          <w:trHeight w:val="300"/>
        </w:trPr>
        <w:tc>
          <w:tcPr>
            <w:tcW w:w="33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p>
        </w:tc>
        <w:tc>
          <w:tcPr>
            <w:tcW w:w="3332" w:type="dxa"/>
            <w:gridSpan w:val="2"/>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r w:rsidRPr="005610DE">
              <w:rPr>
                <w:rFonts w:ascii="Arial" w:eastAsia="Times New Roman" w:hAnsi="Arial" w:cs="Arial"/>
                <w:b/>
                <w:bCs/>
                <w:color w:val="000000"/>
                <w:sz w:val="16"/>
                <w:szCs w:val="16"/>
                <w:lang w:val="en-US"/>
              </w:rPr>
              <w:t>6118 · Fournitures de bureau</w:t>
            </w:r>
          </w:p>
        </w:tc>
        <w:tc>
          <w:tcPr>
            <w:tcW w:w="141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39,165.09</w:t>
            </w:r>
          </w:p>
        </w:tc>
        <w:tc>
          <w:tcPr>
            <w:tcW w:w="151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63,985.50</w:t>
            </w:r>
          </w:p>
        </w:tc>
        <w:tc>
          <w:tcPr>
            <w:tcW w:w="153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54,428.00</w:t>
            </w:r>
          </w:p>
        </w:tc>
        <w:tc>
          <w:tcPr>
            <w:tcW w:w="139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70,384.05</w:t>
            </w:r>
          </w:p>
        </w:tc>
      </w:tr>
      <w:tr w:rsidR="001A7082" w:rsidRPr="005610DE" w:rsidTr="00E53C7A">
        <w:trPr>
          <w:trHeight w:val="300"/>
        </w:trPr>
        <w:tc>
          <w:tcPr>
            <w:tcW w:w="33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p>
        </w:tc>
        <w:tc>
          <w:tcPr>
            <w:tcW w:w="3332" w:type="dxa"/>
            <w:gridSpan w:val="2"/>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r w:rsidRPr="005610DE">
              <w:rPr>
                <w:rFonts w:ascii="Arial" w:eastAsia="Times New Roman" w:hAnsi="Arial" w:cs="Arial"/>
                <w:b/>
                <w:bCs/>
                <w:color w:val="000000"/>
                <w:sz w:val="16"/>
                <w:szCs w:val="16"/>
                <w:lang w:val="en-US"/>
              </w:rPr>
              <w:t>6119 · Carburant,Electricité,eau,phone</w:t>
            </w:r>
          </w:p>
        </w:tc>
        <w:tc>
          <w:tcPr>
            <w:tcW w:w="141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114,802.58</w:t>
            </w:r>
          </w:p>
        </w:tc>
        <w:tc>
          <w:tcPr>
            <w:tcW w:w="151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50,058.25</w:t>
            </w:r>
          </w:p>
        </w:tc>
        <w:tc>
          <w:tcPr>
            <w:tcW w:w="153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209,247.31</w:t>
            </w:r>
          </w:p>
        </w:tc>
        <w:tc>
          <w:tcPr>
            <w:tcW w:w="139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160,464.07</w:t>
            </w:r>
          </w:p>
        </w:tc>
      </w:tr>
      <w:tr w:rsidR="001A7082" w:rsidRPr="005610DE" w:rsidTr="00E53C7A">
        <w:trPr>
          <w:trHeight w:val="315"/>
        </w:trPr>
        <w:tc>
          <w:tcPr>
            <w:tcW w:w="33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p>
        </w:tc>
        <w:tc>
          <w:tcPr>
            <w:tcW w:w="3332" w:type="dxa"/>
            <w:gridSpan w:val="2"/>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r w:rsidRPr="005610DE">
              <w:rPr>
                <w:rFonts w:ascii="Arial" w:eastAsia="Times New Roman" w:hAnsi="Arial" w:cs="Arial"/>
                <w:b/>
                <w:bCs/>
                <w:color w:val="000000"/>
                <w:sz w:val="16"/>
                <w:szCs w:val="16"/>
                <w:lang w:val="en-US"/>
              </w:rPr>
              <w:t>6120 · Divers</w:t>
            </w:r>
          </w:p>
        </w:tc>
        <w:tc>
          <w:tcPr>
            <w:tcW w:w="1416" w:type="dxa"/>
            <w:tcBorders>
              <w:top w:val="nil"/>
              <w:left w:val="nil"/>
              <w:bottom w:val="single" w:sz="8" w:space="0" w:color="auto"/>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47,549.95</w:t>
            </w:r>
          </w:p>
        </w:tc>
        <w:tc>
          <w:tcPr>
            <w:tcW w:w="1516" w:type="dxa"/>
            <w:tcBorders>
              <w:top w:val="nil"/>
              <w:left w:val="nil"/>
              <w:bottom w:val="single" w:sz="8" w:space="0" w:color="auto"/>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72,459.27</w:t>
            </w:r>
          </w:p>
        </w:tc>
        <w:tc>
          <w:tcPr>
            <w:tcW w:w="1536" w:type="dxa"/>
            <w:tcBorders>
              <w:top w:val="nil"/>
              <w:left w:val="nil"/>
              <w:bottom w:val="single" w:sz="8" w:space="0" w:color="auto"/>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43,621.00</w:t>
            </w:r>
          </w:p>
        </w:tc>
        <w:tc>
          <w:tcPr>
            <w:tcW w:w="1396" w:type="dxa"/>
            <w:tcBorders>
              <w:top w:val="nil"/>
              <w:left w:val="nil"/>
              <w:bottom w:val="single" w:sz="8" w:space="0" w:color="auto"/>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 </w:t>
            </w:r>
          </w:p>
        </w:tc>
      </w:tr>
      <w:tr w:rsidR="001A7082" w:rsidRPr="005610DE" w:rsidTr="00E53C7A">
        <w:trPr>
          <w:trHeight w:val="300"/>
        </w:trPr>
        <w:tc>
          <w:tcPr>
            <w:tcW w:w="3668" w:type="dxa"/>
            <w:gridSpan w:val="3"/>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r w:rsidRPr="005610DE">
              <w:rPr>
                <w:rFonts w:ascii="Arial" w:eastAsia="Times New Roman" w:hAnsi="Arial" w:cs="Arial"/>
                <w:b/>
                <w:bCs/>
                <w:color w:val="000000"/>
                <w:sz w:val="16"/>
                <w:szCs w:val="16"/>
                <w:lang w:val="en-US"/>
              </w:rPr>
              <w:t>Total 6100 · Charges de fonctionnement</w:t>
            </w:r>
          </w:p>
        </w:tc>
        <w:tc>
          <w:tcPr>
            <w:tcW w:w="141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2,081,590.15</w:t>
            </w:r>
          </w:p>
        </w:tc>
        <w:tc>
          <w:tcPr>
            <w:tcW w:w="151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2,439,855.32</w:t>
            </w:r>
          </w:p>
        </w:tc>
        <w:tc>
          <w:tcPr>
            <w:tcW w:w="153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2,662,426.76</w:t>
            </w:r>
          </w:p>
        </w:tc>
        <w:tc>
          <w:tcPr>
            <w:tcW w:w="139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2,430,320.29</w:t>
            </w:r>
          </w:p>
        </w:tc>
      </w:tr>
      <w:tr w:rsidR="001A7082" w:rsidRPr="005610DE" w:rsidTr="00E53C7A">
        <w:trPr>
          <w:trHeight w:val="300"/>
        </w:trPr>
        <w:tc>
          <w:tcPr>
            <w:tcW w:w="33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p>
        </w:tc>
        <w:tc>
          <w:tcPr>
            <w:tcW w:w="3332" w:type="dxa"/>
            <w:gridSpan w:val="2"/>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r w:rsidRPr="005610DE">
              <w:rPr>
                <w:rFonts w:ascii="Arial" w:eastAsia="Times New Roman" w:hAnsi="Arial" w:cs="Arial"/>
                <w:b/>
                <w:bCs/>
                <w:color w:val="000000"/>
                <w:sz w:val="16"/>
                <w:szCs w:val="16"/>
                <w:lang w:val="en-US"/>
              </w:rPr>
              <w:t>6220 · Publications et journaux</w:t>
            </w:r>
          </w:p>
        </w:tc>
        <w:tc>
          <w:tcPr>
            <w:tcW w:w="141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21,188.02</w:t>
            </w:r>
          </w:p>
        </w:tc>
        <w:tc>
          <w:tcPr>
            <w:tcW w:w="151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11,825.80</w:t>
            </w:r>
          </w:p>
        </w:tc>
        <w:tc>
          <w:tcPr>
            <w:tcW w:w="153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17,469.74</w:t>
            </w:r>
          </w:p>
        </w:tc>
        <w:tc>
          <w:tcPr>
            <w:tcW w:w="139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13,008.38</w:t>
            </w:r>
          </w:p>
        </w:tc>
      </w:tr>
      <w:tr w:rsidR="001A7082" w:rsidRPr="005610DE" w:rsidTr="00E53C7A">
        <w:trPr>
          <w:trHeight w:val="300"/>
        </w:trPr>
        <w:tc>
          <w:tcPr>
            <w:tcW w:w="33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p>
        </w:tc>
        <w:tc>
          <w:tcPr>
            <w:tcW w:w="3332" w:type="dxa"/>
            <w:gridSpan w:val="2"/>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r w:rsidRPr="005610DE">
              <w:rPr>
                <w:rFonts w:ascii="Arial" w:eastAsia="Times New Roman" w:hAnsi="Arial" w:cs="Arial"/>
                <w:b/>
                <w:bCs/>
                <w:color w:val="000000"/>
                <w:sz w:val="16"/>
                <w:szCs w:val="16"/>
                <w:lang w:val="en-US"/>
              </w:rPr>
              <w:t>6230 · Frais de transport</w:t>
            </w:r>
          </w:p>
        </w:tc>
        <w:tc>
          <w:tcPr>
            <w:tcW w:w="141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58,214.80</w:t>
            </w:r>
          </w:p>
        </w:tc>
        <w:tc>
          <w:tcPr>
            <w:tcW w:w="151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38,074.83</w:t>
            </w:r>
          </w:p>
        </w:tc>
        <w:tc>
          <w:tcPr>
            <w:tcW w:w="153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16,012.00</w:t>
            </w:r>
          </w:p>
        </w:tc>
        <w:tc>
          <w:tcPr>
            <w:tcW w:w="139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30,958.40</w:t>
            </w:r>
          </w:p>
        </w:tc>
      </w:tr>
      <w:tr w:rsidR="001A7082" w:rsidRPr="005610DE" w:rsidTr="00E53C7A">
        <w:trPr>
          <w:trHeight w:val="300"/>
        </w:trPr>
        <w:tc>
          <w:tcPr>
            <w:tcW w:w="33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p>
        </w:tc>
        <w:tc>
          <w:tcPr>
            <w:tcW w:w="3332" w:type="dxa"/>
            <w:gridSpan w:val="2"/>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r w:rsidRPr="005610DE">
              <w:rPr>
                <w:rFonts w:ascii="Arial" w:eastAsia="Times New Roman" w:hAnsi="Arial" w:cs="Arial"/>
                <w:b/>
                <w:bCs/>
                <w:color w:val="000000"/>
                <w:sz w:val="16"/>
                <w:szCs w:val="16"/>
                <w:lang w:val="en-US"/>
              </w:rPr>
              <w:t>6240 · Assurance mat. et équip.</w:t>
            </w:r>
          </w:p>
        </w:tc>
        <w:tc>
          <w:tcPr>
            <w:tcW w:w="141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112,031.02</w:t>
            </w:r>
          </w:p>
        </w:tc>
        <w:tc>
          <w:tcPr>
            <w:tcW w:w="151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116,469.76</w:t>
            </w:r>
          </w:p>
        </w:tc>
        <w:tc>
          <w:tcPr>
            <w:tcW w:w="153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88,758.13</w:t>
            </w:r>
          </w:p>
        </w:tc>
        <w:tc>
          <w:tcPr>
            <w:tcW w:w="139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88,498.16</w:t>
            </w:r>
          </w:p>
        </w:tc>
      </w:tr>
      <w:tr w:rsidR="001A7082" w:rsidRPr="005610DE" w:rsidTr="00E53C7A">
        <w:trPr>
          <w:trHeight w:val="300"/>
        </w:trPr>
        <w:tc>
          <w:tcPr>
            <w:tcW w:w="33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p>
        </w:tc>
        <w:tc>
          <w:tcPr>
            <w:tcW w:w="3332" w:type="dxa"/>
            <w:gridSpan w:val="2"/>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r w:rsidRPr="005610DE">
              <w:rPr>
                <w:rFonts w:ascii="Arial" w:eastAsia="Times New Roman" w:hAnsi="Arial" w:cs="Arial"/>
                <w:b/>
                <w:bCs/>
                <w:color w:val="000000"/>
                <w:sz w:val="16"/>
                <w:szCs w:val="16"/>
                <w:lang w:val="en-US"/>
              </w:rPr>
              <w:t>6260 · Frais  de services bancaires</w:t>
            </w:r>
          </w:p>
        </w:tc>
        <w:tc>
          <w:tcPr>
            <w:tcW w:w="141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16,621.20</w:t>
            </w:r>
          </w:p>
        </w:tc>
        <w:tc>
          <w:tcPr>
            <w:tcW w:w="151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17,697.53</w:t>
            </w:r>
          </w:p>
        </w:tc>
        <w:tc>
          <w:tcPr>
            <w:tcW w:w="153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25,221.65</w:t>
            </w:r>
          </w:p>
        </w:tc>
        <w:tc>
          <w:tcPr>
            <w:tcW w:w="139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13,902.60</w:t>
            </w:r>
          </w:p>
        </w:tc>
      </w:tr>
      <w:tr w:rsidR="001A7082" w:rsidRPr="005610DE" w:rsidTr="00E53C7A">
        <w:trPr>
          <w:trHeight w:val="315"/>
        </w:trPr>
        <w:tc>
          <w:tcPr>
            <w:tcW w:w="33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p>
        </w:tc>
        <w:tc>
          <w:tcPr>
            <w:tcW w:w="3332" w:type="dxa"/>
            <w:gridSpan w:val="2"/>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r w:rsidRPr="005610DE">
              <w:rPr>
                <w:rFonts w:ascii="Arial" w:eastAsia="Times New Roman" w:hAnsi="Arial" w:cs="Arial"/>
                <w:b/>
                <w:bCs/>
                <w:color w:val="000000"/>
                <w:sz w:val="16"/>
                <w:szCs w:val="16"/>
                <w:lang w:val="en-US"/>
              </w:rPr>
              <w:t>6280 · Pertes de change</w:t>
            </w:r>
          </w:p>
        </w:tc>
        <w:tc>
          <w:tcPr>
            <w:tcW w:w="1416" w:type="dxa"/>
            <w:tcBorders>
              <w:top w:val="nil"/>
              <w:left w:val="nil"/>
              <w:bottom w:val="single" w:sz="8" w:space="0" w:color="auto"/>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 </w:t>
            </w:r>
          </w:p>
        </w:tc>
        <w:tc>
          <w:tcPr>
            <w:tcW w:w="1516" w:type="dxa"/>
            <w:tcBorders>
              <w:top w:val="nil"/>
              <w:left w:val="nil"/>
              <w:bottom w:val="single" w:sz="8" w:space="0" w:color="auto"/>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 </w:t>
            </w:r>
          </w:p>
        </w:tc>
        <w:tc>
          <w:tcPr>
            <w:tcW w:w="1536" w:type="dxa"/>
            <w:tcBorders>
              <w:top w:val="nil"/>
              <w:left w:val="nil"/>
              <w:bottom w:val="single" w:sz="8" w:space="0" w:color="auto"/>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170.00</w:t>
            </w:r>
          </w:p>
        </w:tc>
        <w:tc>
          <w:tcPr>
            <w:tcW w:w="1396" w:type="dxa"/>
            <w:tcBorders>
              <w:top w:val="nil"/>
              <w:left w:val="nil"/>
              <w:bottom w:val="single" w:sz="8" w:space="0" w:color="auto"/>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 </w:t>
            </w:r>
          </w:p>
        </w:tc>
      </w:tr>
      <w:tr w:rsidR="001A7082" w:rsidRPr="005610DE" w:rsidTr="00E53C7A">
        <w:trPr>
          <w:trHeight w:val="300"/>
        </w:trPr>
        <w:tc>
          <w:tcPr>
            <w:tcW w:w="3668" w:type="dxa"/>
            <w:gridSpan w:val="3"/>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rPr>
            </w:pPr>
            <w:r w:rsidRPr="005610DE">
              <w:rPr>
                <w:rFonts w:ascii="Arial" w:eastAsia="Times New Roman" w:hAnsi="Arial" w:cs="Arial"/>
                <w:b/>
                <w:bCs/>
                <w:color w:val="000000"/>
                <w:sz w:val="16"/>
                <w:szCs w:val="16"/>
              </w:rPr>
              <w:t>Total 6200 · Autres charges de fonction.</w:t>
            </w:r>
          </w:p>
        </w:tc>
        <w:tc>
          <w:tcPr>
            <w:tcW w:w="141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208,055.04</w:t>
            </w:r>
          </w:p>
        </w:tc>
        <w:tc>
          <w:tcPr>
            <w:tcW w:w="151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184,067.92</w:t>
            </w:r>
          </w:p>
        </w:tc>
        <w:tc>
          <w:tcPr>
            <w:tcW w:w="153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147,631.52</w:t>
            </w:r>
          </w:p>
        </w:tc>
        <w:tc>
          <w:tcPr>
            <w:tcW w:w="139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146,367.54</w:t>
            </w:r>
          </w:p>
        </w:tc>
      </w:tr>
      <w:tr w:rsidR="001A7082" w:rsidRPr="005610DE" w:rsidTr="00E53C7A">
        <w:trPr>
          <w:trHeight w:val="300"/>
        </w:trPr>
        <w:tc>
          <w:tcPr>
            <w:tcW w:w="33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p>
        </w:tc>
        <w:tc>
          <w:tcPr>
            <w:tcW w:w="3332" w:type="dxa"/>
            <w:gridSpan w:val="2"/>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r w:rsidRPr="005610DE">
              <w:rPr>
                <w:rFonts w:ascii="Arial" w:eastAsia="Times New Roman" w:hAnsi="Arial" w:cs="Arial"/>
                <w:b/>
                <w:bCs/>
                <w:color w:val="000000"/>
                <w:sz w:val="16"/>
                <w:szCs w:val="16"/>
                <w:lang w:val="en-US"/>
              </w:rPr>
              <w:t>6310 · Installation et aménagement</w:t>
            </w:r>
          </w:p>
        </w:tc>
        <w:tc>
          <w:tcPr>
            <w:tcW w:w="141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16,846.91</w:t>
            </w:r>
          </w:p>
        </w:tc>
        <w:tc>
          <w:tcPr>
            <w:tcW w:w="151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4,519.32</w:t>
            </w:r>
          </w:p>
        </w:tc>
        <w:tc>
          <w:tcPr>
            <w:tcW w:w="153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377.41</w:t>
            </w:r>
          </w:p>
        </w:tc>
        <w:tc>
          <w:tcPr>
            <w:tcW w:w="139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377.41</w:t>
            </w:r>
          </w:p>
        </w:tc>
      </w:tr>
      <w:tr w:rsidR="001A7082" w:rsidRPr="005610DE" w:rsidTr="00E53C7A">
        <w:trPr>
          <w:trHeight w:val="300"/>
        </w:trPr>
        <w:tc>
          <w:tcPr>
            <w:tcW w:w="33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p>
        </w:tc>
        <w:tc>
          <w:tcPr>
            <w:tcW w:w="3332" w:type="dxa"/>
            <w:gridSpan w:val="2"/>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r w:rsidRPr="005610DE">
              <w:rPr>
                <w:rFonts w:ascii="Arial" w:eastAsia="Times New Roman" w:hAnsi="Arial" w:cs="Arial"/>
                <w:b/>
                <w:bCs/>
                <w:color w:val="000000"/>
                <w:sz w:val="16"/>
                <w:szCs w:val="16"/>
                <w:lang w:val="en-US"/>
              </w:rPr>
              <w:t>6320 · Matériel informatique</w:t>
            </w:r>
          </w:p>
        </w:tc>
        <w:tc>
          <w:tcPr>
            <w:tcW w:w="141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color w:val="000000"/>
                <w:sz w:val="16"/>
                <w:szCs w:val="16"/>
                <w:lang w:val="en-US"/>
              </w:rPr>
            </w:pPr>
          </w:p>
        </w:tc>
        <w:tc>
          <w:tcPr>
            <w:tcW w:w="151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color w:val="000000"/>
                <w:sz w:val="16"/>
                <w:szCs w:val="16"/>
                <w:lang w:val="en-US"/>
              </w:rPr>
            </w:pPr>
          </w:p>
        </w:tc>
        <w:tc>
          <w:tcPr>
            <w:tcW w:w="153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4,094.56</w:t>
            </w:r>
          </w:p>
        </w:tc>
        <w:tc>
          <w:tcPr>
            <w:tcW w:w="139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color w:val="000000"/>
                <w:sz w:val="16"/>
                <w:szCs w:val="16"/>
                <w:lang w:val="en-US"/>
              </w:rPr>
            </w:pPr>
          </w:p>
        </w:tc>
      </w:tr>
      <w:tr w:rsidR="001A7082" w:rsidRPr="005610DE" w:rsidTr="00E53C7A">
        <w:trPr>
          <w:trHeight w:val="300"/>
        </w:trPr>
        <w:tc>
          <w:tcPr>
            <w:tcW w:w="33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p>
        </w:tc>
        <w:tc>
          <w:tcPr>
            <w:tcW w:w="3332" w:type="dxa"/>
            <w:gridSpan w:val="2"/>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r w:rsidRPr="005610DE">
              <w:rPr>
                <w:rFonts w:ascii="Arial" w:eastAsia="Times New Roman" w:hAnsi="Arial" w:cs="Arial"/>
                <w:b/>
                <w:bCs/>
                <w:color w:val="000000"/>
                <w:sz w:val="16"/>
                <w:szCs w:val="16"/>
                <w:lang w:val="en-US"/>
              </w:rPr>
              <w:t>6330 · Matériel roulant</w:t>
            </w:r>
          </w:p>
        </w:tc>
        <w:tc>
          <w:tcPr>
            <w:tcW w:w="141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62,483.32</w:t>
            </w:r>
          </w:p>
        </w:tc>
        <w:tc>
          <w:tcPr>
            <w:tcW w:w="151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187,449.96</w:t>
            </w:r>
          </w:p>
        </w:tc>
        <w:tc>
          <w:tcPr>
            <w:tcW w:w="153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187,449.96</w:t>
            </w:r>
          </w:p>
        </w:tc>
        <w:tc>
          <w:tcPr>
            <w:tcW w:w="139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187,449.96</w:t>
            </w:r>
          </w:p>
        </w:tc>
      </w:tr>
      <w:tr w:rsidR="001A7082" w:rsidRPr="005610DE" w:rsidTr="00E53C7A">
        <w:trPr>
          <w:trHeight w:val="300"/>
        </w:trPr>
        <w:tc>
          <w:tcPr>
            <w:tcW w:w="33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p>
        </w:tc>
        <w:tc>
          <w:tcPr>
            <w:tcW w:w="3332" w:type="dxa"/>
            <w:gridSpan w:val="2"/>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r w:rsidRPr="005610DE">
              <w:rPr>
                <w:rFonts w:ascii="Arial" w:eastAsia="Times New Roman" w:hAnsi="Arial" w:cs="Arial"/>
                <w:b/>
                <w:bCs/>
                <w:color w:val="000000"/>
                <w:sz w:val="16"/>
                <w:szCs w:val="16"/>
                <w:lang w:val="en-US"/>
              </w:rPr>
              <w:t>6340 · Matériel et équipement</w:t>
            </w:r>
          </w:p>
        </w:tc>
        <w:tc>
          <w:tcPr>
            <w:tcW w:w="141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60,701.88</w:t>
            </w:r>
          </w:p>
        </w:tc>
        <w:tc>
          <w:tcPr>
            <w:tcW w:w="151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58,526.88</w:t>
            </w:r>
          </w:p>
        </w:tc>
        <w:tc>
          <w:tcPr>
            <w:tcW w:w="153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58,526.88</w:t>
            </w:r>
          </w:p>
        </w:tc>
        <w:tc>
          <w:tcPr>
            <w:tcW w:w="139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58,526.88</w:t>
            </w:r>
          </w:p>
        </w:tc>
      </w:tr>
      <w:tr w:rsidR="001A7082" w:rsidRPr="005610DE" w:rsidTr="00E53C7A">
        <w:trPr>
          <w:trHeight w:val="315"/>
        </w:trPr>
        <w:tc>
          <w:tcPr>
            <w:tcW w:w="33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p>
        </w:tc>
        <w:tc>
          <w:tcPr>
            <w:tcW w:w="3332" w:type="dxa"/>
            <w:gridSpan w:val="2"/>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r w:rsidRPr="005610DE">
              <w:rPr>
                <w:rFonts w:ascii="Arial" w:eastAsia="Times New Roman" w:hAnsi="Arial" w:cs="Arial"/>
                <w:b/>
                <w:bCs/>
                <w:color w:val="000000"/>
                <w:sz w:val="16"/>
                <w:szCs w:val="16"/>
                <w:lang w:val="en-US"/>
              </w:rPr>
              <w:t>6350 · Matériel et mobilier</w:t>
            </w:r>
          </w:p>
        </w:tc>
        <w:tc>
          <w:tcPr>
            <w:tcW w:w="1416" w:type="dxa"/>
            <w:tcBorders>
              <w:top w:val="nil"/>
              <w:left w:val="nil"/>
              <w:bottom w:val="single" w:sz="8" w:space="0" w:color="auto"/>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17,658.23</w:t>
            </w:r>
          </w:p>
        </w:tc>
        <w:tc>
          <w:tcPr>
            <w:tcW w:w="1516" w:type="dxa"/>
            <w:tcBorders>
              <w:top w:val="nil"/>
              <w:left w:val="nil"/>
              <w:bottom w:val="single" w:sz="8" w:space="0" w:color="auto"/>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6,593.40</w:t>
            </w:r>
          </w:p>
        </w:tc>
        <w:tc>
          <w:tcPr>
            <w:tcW w:w="1536" w:type="dxa"/>
            <w:tcBorders>
              <w:top w:val="nil"/>
              <w:left w:val="nil"/>
              <w:bottom w:val="single" w:sz="8" w:space="0" w:color="auto"/>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7,747.04</w:t>
            </w:r>
          </w:p>
        </w:tc>
        <w:tc>
          <w:tcPr>
            <w:tcW w:w="1396" w:type="dxa"/>
            <w:tcBorders>
              <w:top w:val="nil"/>
              <w:left w:val="nil"/>
              <w:bottom w:val="single" w:sz="8" w:space="0" w:color="auto"/>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6,126.99</w:t>
            </w:r>
          </w:p>
        </w:tc>
      </w:tr>
      <w:tr w:rsidR="001A7082" w:rsidRPr="005610DE" w:rsidTr="00E53C7A">
        <w:trPr>
          <w:trHeight w:val="300"/>
        </w:trPr>
        <w:tc>
          <w:tcPr>
            <w:tcW w:w="3668" w:type="dxa"/>
            <w:gridSpan w:val="3"/>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r w:rsidRPr="005610DE">
              <w:rPr>
                <w:rFonts w:ascii="Arial" w:eastAsia="Times New Roman" w:hAnsi="Arial" w:cs="Arial"/>
                <w:b/>
                <w:bCs/>
                <w:color w:val="000000"/>
                <w:sz w:val="16"/>
                <w:szCs w:val="16"/>
                <w:lang w:val="en-US"/>
              </w:rPr>
              <w:t>Total 6300 · Dotations aux amortissements</w:t>
            </w:r>
          </w:p>
        </w:tc>
        <w:tc>
          <w:tcPr>
            <w:tcW w:w="141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157,690.34</w:t>
            </w:r>
          </w:p>
        </w:tc>
        <w:tc>
          <w:tcPr>
            <w:tcW w:w="151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257,089.56</w:t>
            </w:r>
          </w:p>
        </w:tc>
        <w:tc>
          <w:tcPr>
            <w:tcW w:w="153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258,195.85</w:t>
            </w:r>
          </w:p>
        </w:tc>
        <w:tc>
          <w:tcPr>
            <w:tcW w:w="139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252,481.24</w:t>
            </w:r>
          </w:p>
        </w:tc>
      </w:tr>
      <w:tr w:rsidR="001A7082" w:rsidRPr="005610DE" w:rsidTr="00E53C7A">
        <w:trPr>
          <w:trHeight w:val="315"/>
        </w:trPr>
        <w:tc>
          <w:tcPr>
            <w:tcW w:w="3668" w:type="dxa"/>
            <w:gridSpan w:val="3"/>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r w:rsidRPr="005610DE">
              <w:rPr>
                <w:rFonts w:ascii="Arial" w:eastAsia="Times New Roman" w:hAnsi="Arial" w:cs="Arial"/>
                <w:b/>
                <w:bCs/>
                <w:color w:val="000000"/>
                <w:sz w:val="16"/>
                <w:szCs w:val="16"/>
                <w:lang w:val="en-US"/>
              </w:rPr>
              <w:t>6500 · Impôts et taxes</w:t>
            </w:r>
          </w:p>
        </w:tc>
        <w:tc>
          <w:tcPr>
            <w:tcW w:w="141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7,027.32</w:t>
            </w:r>
          </w:p>
        </w:tc>
        <w:tc>
          <w:tcPr>
            <w:tcW w:w="151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8,048.00</w:t>
            </w:r>
          </w:p>
        </w:tc>
        <w:tc>
          <w:tcPr>
            <w:tcW w:w="153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47,790.60</w:t>
            </w:r>
          </w:p>
        </w:tc>
        <w:tc>
          <w:tcPr>
            <w:tcW w:w="139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8,852.80</w:t>
            </w:r>
          </w:p>
        </w:tc>
      </w:tr>
      <w:tr w:rsidR="001A7082" w:rsidRPr="005610DE" w:rsidTr="00E53C7A">
        <w:trPr>
          <w:trHeight w:val="300"/>
        </w:trPr>
        <w:tc>
          <w:tcPr>
            <w:tcW w:w="3668" w:type="dxa"/>
            <w:gridSpan w:val="3"/>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r w:rsidRPr="005610DE">
              <w:rPr>
                <w:rFonts w:ascii="Arial" w:eastAsia="Times New Roman" w:hAnsi="Arial" w:cs="Arial"/>
                <w:b/>
                <w:bCs/>
                <w:color w:val="000000"/>
                <w:sz w:val="16"/>
                <w:szCs w:val="16"/>
                <w:lang w:val="en-US"/>
              </w:rPr>
              <w:t>Total Expenses</w:t>
            </w:r>
          </w:p>
        </w:tc>
        <w:tc>
          <w:tcPr>
            <w:tcW w:w="1416" w:type="dxa"/>
            <w:tcBorders>
              <w:top w:val="single" w:sz="8" w:space="0" w:color="auto"/>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4,953,982.20</w:t>
            </w:r>
          </w:p>
        </w:tc>
        <w:tc>
          <w:tcPr>
            <w:tcW w:w="1516" w:type="dxa"/>
            <w:tcBorders>
              <w:top w:val="single" w:sz="8" w:space="0" w:color="auto"/>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6,744,612.86</w:t>
            </w:r>
          </w:p>
        </w:tc>
        <w:tc>
          <w:tcPr>
            <w:tcW w:w="1536" w:type="dxa"/>
            <w:tcBorders>
              <w:top w:val="single" w:sz="8" w:space="0" w:color="auto"/>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6,253,786.86</w:t>
            </w:r>
          </w:p>
        </w:tc>
        <w:tc>
          <w:tcPr>
            <w:tcW w:w="1396" w:type="dxa"/>
            <w:tcBorders>
              <w:top w:val="single" w:sz="8" w:space="0" w:color="auto"/>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lang w:val="en-US"/>
              </w:rPr>
            </w:pPr>
            <w:r w:rsidRPr="005610DE">
              <w:rPr>
                <w:rFonts w:ascii="Arial" w:eastAsia="Times New Roman" w:hAnsi="Arial" w:cs="Arial"/>
                <w:color w:val="000000"/>
                <w:sz w:val="16"/>
                <w:szCs w:val="16"/>
                <w:lang w:val="en-US"/>
              </w:rPr>
              <w:t>6,044,404.46</w:t>
            </w:r>
          </w:p>
        </w:tc>
      </w:tr>
      <w:tr w:rsidR="001A7082" w:rsidRPr="005610DE" w:rsidTr="00E53C7A">
        <w:trPr>
          <w:trHeight w:val="300"/>
        </w:trPr>
        <w:tc>
          <w:tcPr>
            <w:tcW w:w="3668" w:type="dxa"/>
            <w:gridSpan w:val="3"/>
            <w:tcBorders>
              <w:top w:val="nil"/>
              <w:left w:val="nil"/>
              <w:bottom w:val="nil"/>
              <w:right w:val="nil"/>
            </w:tcBorders>
            <w:shd w:val="clear" w:color="auto" w:fill="auto"/>
            <w:noWrap/>
            <w:vAlign w:val="bottom"/>
            <w:hideMark/>
          </w:tcPr>
          <w:p w:rsidR="001A7082" w:rsidRPr="005610DE" w:rsidRDefault="001A7082" w:rsidP="00E53C7A">
            <w:pPr>
              <w:spacing w:after="0" w:line="240" w:lineRule="auto"/>
              <w:rPr>
                <w:rFonts w:ascii="Arial" w:eastAsia="Times New Roman" w:hAnsi="Arial" w:cs="Arial"/>
                <w:b/>
                <w:bCs/>
                <w:color w:val="000000"/>
                <w:sz w:val="16"/>
                <w:szCs w:val="16"/>
                <w:lang w:val="en-US"/>
              </w:rPr>
            </w:pPr>
            <w:r w:rsidRPr="005610DE">
              <w:rPr>
                <w:rFonts w:ascii="Arial" w:eastAsia="Times New Roman" w:hAnsi="Arial" w:cs="Arial"/>
                <w:b/>
                <w:bCs/>
                <w:color w:val="000000"/>
                <w:sz w:val="16"/>
                <w:szCs w:val="16"/>
                <w:lang w:val="en-US"/>
              </w:rPr>
              <w:t>Net Income</w:t>
            </w:r>
          </w:p>
        </w:tc>
        <w:tc>
          <w:tcPr>
            <w:tcW w:w="141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u w:val="double"/>
                <w:lang w:val="en-US"/>
              </w:rPr>
            </w:pPr>
            <w:r w:rsidRPr="005610DE">
              <w:rPr>
                <w:rFonts w:ascii="Arial" w:eastAsia="Times New Roman" w:hAnsi="Arial" w:cs="Arial"/>
                <w:color w:val="000000"/>
                <w:sz w:val="16"/>
                <w:szCs w:val="16"/>
                <w:u w:val="double"/>
                <w:lang w:val="en-US"/>
              </w:rPr>
              <w:t>407,362.06</w:t>
            </w:r>
          </w:p>
        </w:tc>
        <w:tc>
          <w:tcPr>
            <w:tcW w:w="151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u w:val="double"/>
                <w:lang w:val="en-US"/>
              </w:rPr>
            </w:pPr>
            <w:r w:rsidRPr="005610DE">
              <w:rPr>
                <w:rFonts w:ascii="Arial" w:eastAsia="Times New Roman" w:hAnsi="Arial" w:cs="Arial"/>
                <w:color w:val="000000"/>
                <w:sz w:val="16"/>
                <w:szCs w:val="16"/>
                <w:u w:val="double"/>
                <w:lang w:val="en-US"/>
              </w:rPr>
              <w:t>44,747.47</w:t>
            </w:r>
          </w:p>
        </w:tc>
        <w:tc>
          <w:tcPr>
            <w:tcW w:w="153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u w:val="double"/>
                <w:lang w:val="en-US"/>
              </w:rPr>
            </w:pPr>
            <w:r w:rsidRPr="005610DE">
              <w:rPr>
                <w:rFonts w:ascii="Arial" w:eastAsia="Times New Roman" w:hAnsi="Arial" w:cs="Arial"/>
                <w:color w:val="000000"/>
                <w:sz w:val="16"/>
                <w:szCs w:val="16"/>
                <w:u w:val="double"/>
                <w:lang w:val="en-US"/>
              </w:rPr>
              <w:t>7,483.65</w:t>
            </w:r>
          </w:p>
        </w:tc>
        <w:tc>
          <w:tcPr>
            <w:tcW w:w="1396" w:type="dxa"/>
            <w:tcBorders>
              <w:top w:val="nil"/>
              <w:left w:val="nil"/>
              <w:bottom w:val="nil"/>
              <w:right w:val="nil"/>
            </w:tcBorders>
            <w:shd w:val="clear" w:color="auto" w:fill="auto"/>
            <w:noWrap/>
            <w:vAlign w:val="bottom"/>
            <w:hideMark/>
          </w:tcPr>
          <w:p w:rsidR="001A7082" w:rsidRPr="005610DE" w:rsidRDefault="001A7082" w:rsidP="00E53C7A">
            <w:pPr>
              <w:spacing w:after="0" w:line="240" w:lineRule="auto"/>
              <w:jc w:val="right"/>
              <w:rPr>
                <w:rFonts w:ascii="Arial" w:eastAsia="Times New Roman" w:hAnsi="Arial" w:cs="Arial"/>
                <w:color w:val="000000"/>
                <w:sz w:val="16"/>
                <w:szCs w:val="16"/>
                <w:u w:val="double"/>
                <w:lang w:val="en-US"/>
              </w:rPr>
            </w:pPr>
            <w:r w:rsidRPr="005610DE">
              <w:rPr>
                <w:rFonts w:ascii="Arial" w:eastAsia="Times New Roman" w:hAnsi="Arial" w:cs="Arial"/>
                <w:color w:val="000000"/>
                <w:sz w:val="16"/>
                <w:szCs w:val="16"/>
                <w:u w:val="double"/>
                <w:lang w:val="en-US"/>
              </w:rPr>
              <w:t>7,514.49</w:t>
            </w:r>
          </w:p>
        </w:tc>
      </w:tr>
    </w:tbl>
    <w:p w:rsidR="001A7082" w:rsidRDefault="001A7082" w:rsidP="001A7082">
      <w:pPr>
        <w:rPr>
          <w:rFonts w:ascii="Times New Roman" w:hAnsi="Times New Roman" w:cs="Times New Roman"/>
          <w:sz w:val="24"/>
          <w:szCs w:val="24"/>
        </w:rPr>
      </w:pPr>
      <w:r>
        <w:rPr>
          <w:rFonts w:ascii="Times New Roman" w:hAnsi="Times New Roman" w:cs="Times New Roman"/>
          <w:sz w:val="24"/>
          <w:szCs w:val="24"/>
        </w:rPr>
        <w:br w:type="page"/>
      </w:r>
    </w:p>
    <w:p w:rsidR="001A7082" w:rsidRPr="00666285" w:rsidRDefault="001A7082" w:rsidP="001A7082">
      <w:pPr>
        <w:jc w:val="center"/>
        <w:rPr>
          <w:rFonts w:ascii="Times New Roman" w:hAnsi="Times New Roman" w:cs="Times New Roman"/>
          <w:b/>
          <w:sz w:val="20"/>
          <w:szCs w:val="20"/>
        </w:rPr>
      </w:pPr>
      <w:r w:rsidRPr="00666285">
        <w:rPr>
          <w:rFonts w:ascii="Times New Roman" w:hAnsi="Times New Roman" w:cs="Times New Roman"/>
          <w:b/>
          <w:sz w:val="20"/>
          <w:szCs w:val="20"/>
        </w:rPr>
        <w:lastRenderedPageBreak/>
        <w:t>ASSOCIATION PROFESSIONNELLE DES BANQUES</w:t>
      </w:r>
    </w:p>
    <w:p w:rsidR="001A7082" w:rsidRDefault="001A7082" w:rsidP="001A7082">
      <w:pPr>
        <w:jc w:val="center"/>
        <w:rPr>
          <w:rFonts w:ascii="Times New Roman" w:hAnsi="Times New Roman" w:cs="Times New Roman"/>
          <w:b/>
          <w:sz w:val="20"/>
          <w:szCs w:val="20"/>
        </w:rPr>
      </w:pPr>
      <w:r w:rsidRPr="00666285">
        <w:rPr>
          <w:rFonts w:ascii="Times New Roman" w:hAnsi="Times New Roman" w:cs="Times New Roman"/>
          <w:b/>
          <w:sz w:val="20"/>
          <w:szCs w:val="20"/>
        </w:rPr>
        <w:t>COMPARAISON DES BILANS ACTUEL ET PRECEDENT</w:t>
      </w:r>
    </w:p>
    <w:tbl>
      <w:tblPr>
        <w:tblW w:w="9276" w:type="dxa"/>
        <w:tblInd w:w="108" w:type="dxa"/>
        <w:tblLook w:val="04A0" w:firstRow="1" w:lastRow="0" w:firstColumn="1" w:lastColumn="0" w:noHBand="0" w:noVBand="1"/>
      </w:tblPr>
      <w:tblGrid>
        <w:gridCol w:w="336"/>
        <w:gridCol w:w="353"/>
        <w:gridCol w:w="353"/>
        <w:gridCol w:w="336"/>
        <w:gridCol w:w="336"/>
        <w:gridCol w:w="3816"/>
        <w:gridCol w:w="1151"/>
        <w:gridCol w:w="256"/>
        <w:gridCol w:w="1151"/>
        <w:gridCol w:w="256"/>
        <w:gridCol w:w="1017"/>
      </w:tblGrid>
      <w:tr w:rsidR="001A7082" w:rsidRPr="00666285" w:rsidTr="00E53C7A">
        <w:trPr>
          <w:trHeight w:val="330"/>
        </w:trPr>
        <w:tc>
          <w:tcPr>
            <w:tcW w:w="336" w:type="dxa"/>
            <w:tcBorders>
              <w:top w:val="nil"/>
              <w:left w:val="nil"/>
              <w:bottom w:val="nil"/>
              <w:right w:val="nil"/>
            </w:tcBorders>
            <w:shd w:val="clear" w:color="auto" w:fill="auto"/>
            <w:noWrap/>
            <w:vAlign w:val="bottom"/>
            <w:hideMark/>
          </w:tcPr>
          <w:p w:rsidR="001A7082" w:rsidRPr="00C934D5" w:rsidRDefault="001A7082" w:rsidP="00E53C7A">
            <w:pPr>
              <w:spacing w:after="0" w:line="240" w:lineRule="auto"/>
              <w:jc w:val="center"/>
              <w:rPr>
                <w:rFonts w:ascii="Arial" w:eastAsia="Times New Roman" w:hAnsi="Arial" w:cs="Arial"/>
                <w:b/>
                <w:bCs/>
                <w:color w:val="000000"/>
                <w:sz w:val="16"/>
                <w:szCs w:val="16"/>
              </w:rPr>
            </w:pPr>
            <w:r>
              <w:rPr>
                <w:rFonts w:ascii="Arial" w:eastAsia="Times New Roman" w:hAnsi="Arial" w:cs="Arial"/>
                <w:b/>
                <w:bCs/>
                <w:noProof/>
                <w:color w:val="000000"/>
                <w:sz w:val="16"/>
                <w:szCs w:val="16"/>
                <w:lang w:val="en-US"/>
              </w:rPr>
              <w:drawing>
                <wp:anchor distT="0" distB="0" distL="114300" distR="114300" simplePos="0" relativeHeight="251661312" behindDoc="0" locked="0" layoutInCell="1" allowOverlap="1">
                  <wp:simplePos x="0" y="0"/>
                  <wp:positionH relativeFrom="column">
                    <wp:posOffset>0</wp:posOffset>
                  </wp:positionH>
                  <wp:positionV relativeFrom="paragraph">
                    <wp:posOffset>-200025</wp:posOffset>
                  </wp:positionV>
                  <wp:extent cx="914400" cy="228600"/>
                  <wp:effectExtent l="19050" t="0" r="0" b="0"/>
                  <wp:wrapNone/>
                  <wp:docPr id="4" name="FILT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TER" hidden="1"/>
                          <pic:cNvPicPr>
                            <a:picLocks noChangeAspect="1" noChangeArrowheads="1"/>
                          </pic:cNvPicPr>
                        </pic:nvPicPr>
                        <pic:blipFill>
                          <a:blip r:embed="rId10"/>
                          <a:srcRect/>
                          <a:stretch>
                            <a:fillRect/>
                          </a:stretch>
                        </pic:blipFill>
                        <pic:spPr bwMode="auto">
                          <a:xfrm>
                            <a:off x="0" y="0"/>
                            <a:ext cx="914400" cy="228600"/>
                          </a:xfrm>
                          <a:prstGeom prst="rect">
                            <a:avLst/>
                          </a:prstGeom>
                          <a:solidFill>
                            <a:srgbClr val="FFFFFF"/>
                          </a:solidFill>
                          <a:ln w="9525">
                            <a:miter lim="800000"/>
                            <a:headEnd/>
                            <a:tailEnd/>
                          </a:ln>
                        </pic:spPr>
                      </pic:pic>
                    </a:graphicData>
                  </a:graphic>
                </wp:anchor>
              </w:drawing>
            </w:r>
            <w:r>
              <w:rPr>
                <w:rFonts w:ascii="Arial" w:eastAsia="Times New Roman" w:hAnsi="Arial" w:cs="Arial"/>
                <w:b/>
                <w:bCs/>
                <w:noProof/>
                <w:color w:val="000000"/>
                <w:sz w:val="16"/>
                <w:szCs w:val="16"/>
                <w:lang w:val="en-US"/>
              </w:rPr>
              <w:drawing>
                <wp:anchor distT="0" distB="0" distL="114300" distR="114300" simplePos="0" relativeHeight="251662336" behindDoc="0" locked="0" layoutInCell="1" allowOverlap="1">
                  <wp:simplePos x="0" y="0"/>
                  <wp:positionH relativeFrom="column">
                    <wp:posOffset>0</wp:posOffset>
                  </wp:positionH>
                  <wp:positionV relativeFrom="paragraph">
                    <wp:posOffset>-200025</wp:posOffset>
                  </wp:positionV>
                  <wp:extent cx="914400" cy="228600"/>
                  <wp:effectExtent l="19050" t="0" r="0" b="0"/>
                  <wp:wrapNone/>
                  <wp:docPr id="5" name="HEAD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hidden="1"/>
                          <pic:cNvPicPr>
                            <a:picLocks noChangeAspect="1" noChangeArrowheads="1"/>
                          </pic:cNvPicPr>
                        </pic:nvPicPr>
                        <pic:blipFill>
                          <a:blip r:embed="rId10"/>
                          <a:srcRect/>
                          <a:stretch>
                            <a:fillRect/>
                          </a:stretch>
                        </pic:blipFill>
                        <pic:spPr bwMode="auto">
                          <a:xfrm>
                            <a:off x="0" y="0"/>
                            <a:ext cx="914400" cy="228600"/>
                          </a:xfrm>
                          <a:prstGeom prst="rect">
                            <a:avLst/>
                          </a:prstGeom>
                          <a:solidFill>
                            <a:srgbClr val="FFFFFF"/>
                          </a:solidFill>
                          <a:ln w="9525">
                            <a:miter lim="800000"/>
                            <a:headEnd/>
                            <a:tailEnd/>
                          </a:ln>
                        </pic:spPr>
                      </pic:pic>
                    </a:graphicData>
                  </a:graphic>
                </wp:anchor>
              </w:drawing>
            </w:r>
          </w:p>
        </w:tc>
        <w:tc>
          <w:tcPr>
            <w:tcW w:w="336" w:type="dxa"/>
            <w:tcBorders>
              <w:top w:val="nil"/>
              <w:left w:val="nil"/>
              <w:bottom w:val="nil"/>
              <w:right w:val="nil"/>
            </w:tcBorders>
            <w:shd w:val="clear" w:color="auto" w:fill="auto"/>
            <w:noWrap/>
            <w:vAlign w:val="bottom"/>
            <w:hideMark/>
          </w:tcPr>
          <w:p w:rsidR="001A7082" w:rsidRPr="00C934D5" w:rsidRDefault="001A7082" w:rsidP="00E53C7A">
            <w:pPr>
              <w:spacing w:after="0" w:line="240" w:lineRule="auto"/>
              <w:jc w:val="center"/>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rsidR="001A7082" w:rsidRPr="00C934D5" w:rsidRDefault="001A7082" w:rsidP="00E53C7A">
            <w:pPr>
              <w:spacing w:after="0" w:line="240" w:lineRule="auto"/>
              <w:jc w:val="center"/>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rsidR="001A7082" w:rsidRPr="00C934D5" w:rsidRDefault="001A7082" w:rsidP="00E53C7A">
            <w:pPr>
              <w:spacing w:after="0" w:line="240" w:lineRule="auto"/>
              <w:jc w:val="center"/>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rsidR="001A7082" w:rsidRPr="00C934D5" w:rsidRDefault="001A7082" w:rsidP="00E53C7A">
            <w:pPr>
              <w:spacing w:after="0" w:line="240" w:lineRule="auto"/>
              <w:jc w:val="center"/>
              <w:rPr>
                <w:rFonts w:ascii="Arial" w:eastAsia="Times New Roman" w:hAnsi="Arial" w:cs="Arial"/>
                <w:b/>
                <w:bCs/>
                <w:color w:val="000000"/>
                <w:sz w:val="16"/>
                <w:szCs w:val="16"/>
              </w:rPr>
            </w:pPr>
          </w:p>
        </w:tc>
        <w:tc>
          <w:tcPr>
            <w:tcW w:w="3816" w:type="dxa"/>
            <w:tcBorders>
              <w:top w:val="nil"/>
              <w:left w:val="nil"/>
              <w:bottom w:val="nil"/>
              <w:right w:val="nil"/>
            </w:tcBorders>
            <w:shd w:val="clear" w:color="auto" w:fill="auto"/>
            <w:noWrap/>
            <w:vAlign w:val="bottom"/>
            <w:hideMark/>
          </w:tcPr>
          <w:p w:rsidR="001A7082" w:rsidRPr="00C934D5" w:rsidRDefault="001A7082" w:rsidP="00E53C7A">
            <w:pPr>
              <w:spacing w:after="0" w:line="240" w:lineRule="auto"/>
              <w:jc w:val="center"/>
              <w:rPr>
                <w:rFonts w:ascii="Arial" w:eastAsia="Times New Roman" w:hAnsi="Arial" w:cs="Arial"/>
                <w:b/>
                <w:bCs/>
                <w:color w:val="000000"/>
                <w:sz w:val="16"/>
                <w:szCs w:val="16"/>
              </w:rPr>
            </w:pPr>
          </w:p>
        </w:tc>
        <w:tc>
          <w:tcPr>
            <w:tcW w:w="1136" w:type="dxa"/>
            <w:tcBorders>
              <w:top w:val="single" w:sz="12" w:space="0" w:color="auto"/>
              <w:left w:val="nil"/>
              <w:bottom w:val="single" w:sz="12" w:space="0" w:color="auto"/>
              <w:right w:val="nil"/>
            </w:tcBorders>
            <w:shd w:val="clear" w:color="auto" w:fill="auto"/>
            <w:noWrap/>
            <w:vAlign w:val="bottom"/>
            <w:hideMark/>
          </w:tcPr>
          <w:p w:rsidR="001A7082" w:rsidRPr="00666285" w:rsidRDefault="001A7082" w:rsidP="00E53C7A">
            <w:pPr>
              <w:spacing w:after="0" w:line="240" w:lineRule="auto"/>
              <w:jc w:val="center"/>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Sep 30, 13</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center"/>
              <w:rPr>
                <w:rFonts w:ascii="Calibri" w:eastAsia="Times New Roman" w:hAnsi="Calibri" w:cs="Times New Roman"/>
                <w:color w:val="000000"/>
                <w:lang w:val="en-US"/>
              </w:rPr>
            </w:pPr>
          </w:p>
        </w:tc>
        <w:tc>
          <w:tcPr>
            <w:tcW w:w="1136" w:type="dxa"/>
            <w:tcBorders>
              <w:top w:val="single" w:sz="12" w:space="0" w:color="auto"/>
              <w:left w:val="nil"/>
              <w:bottom w:val="single" w:sz="12" w:space="0" w:color="auto"/>
              <w:right w:val="nil"/>
            </w:tcBorders>
            <w:shd w:val="clear" w:color="auto" w:fill="auto"/>
            <w:noWrap/>
            <w:vAlign w:val="bottom"/>
            <w:hideMark/>
          </w:tcPr>
          <w:p w:rsidR="001A7082" w:rsidRPr="00666285" w:rsidRDefault="001A7082" w:rsidP="00E53C7A">
            <w:pPr>
              <w:spacing w:after="0" w:line="240" w:lineRule="auto"/>
              <w:jc w:val="center"/>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Sep 30, 12</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center"/>
              <w:rPr>
                <w:rFonts w:ascii="Calibri" w:eastAsia="Times New Roman" w:hAnsi="Calibri" w:cs="Times New Roman"/>
                <w:color w:val="000000"/>
                <w:lang w:val="en-US"/>
              </w:rPr>
            </w:pPr>
          </w:p>
        </w:tc>
        <w:tc>
          <w:tcPr>
            <w:tcW w:w="996" w:type="dxa"/>
            <w:tcBorders>
              <w:top w:val="single" w:sz="12" w:space="0" w:color="auto"/>
              <w:left w:val="nil"/>
              <w:bottom w:val="single" w:sz="12" w:space="0" w:color="auto"/>
              <w:right w:val="nil"/>
            </w:tcBorders>
            <w:shd w:val="clear" w:color="auto" w:fill="auto"/>
            <w:noWrap/>
            <w:vAlign w:val="bottom"/>
            <w:hideMark/>
          </w:tcPr>
          <w:p w:rsidR="001A7082" w:rsidRPr="00666285" w:rsidRDefault="001A7082" w:rsidP="00E53C7A">
            <w:pPr>
              <w:spacing w:after="0" w:line="240" w:lineRule="auto"/>
              <w:jc w:val="center"/>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 Change</w:t>
            </w:r>
          </w:p>
        </w:tc>
      </w:tr>
      <w:tr w:rsidR="001A7082" w:rsidRPr="00666285" w:rsidTr="00E53C7A">
        <w:trPr>
          <w:trHeight w:val="315"/>
        </w:trPr>
        <w:tc>
          <w:tcPr>
            <w:tcW w:w="1008" w:type="dxa"/>
            <w:gridSpan w:val="3"/>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ASSETS</w:t>
            </w: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81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r>
      <w:tr w:rsidR="001A7082" w:rsidRPr="00666285" w:rsidTr="00E53C7A">
        <w:trPr>
          <w:trHeight w:val="300"/>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5160" w:type="dxa"/>
            <w:gridSpan w:val="5"/>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Current Assets</w:t>
            </w: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r>
      <w:tr w:rsidR="001A7082" w:rsidRPr="00666285" w:rsidTr="00E53C7A">
        <w:trPr>
          <w:trHeight w:val="300"/>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4488" w:type="dxa"/>
            <w:gridSpan w:val="3"/>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1000 · Liquidités</w:t>
            </w: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r>
      <w:tr w:rsidR="001A7082" w:rsidRPr="00666285" w:rsidTr="00E53C7A">
        <w:trPr>
          <w:trHeight w:val="300"/>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4152" w:type="dxa"/>
            <w:gridSpan w:val="2"/>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1010 · SOGEBANK  RetirementUS$30681.53</w:t>
            </w: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r>
      <w:tr w:rsidR="001A7082" w:rsidRPr="00666285" w:rsidTr="00E53C7A">
        <w:trPr>
          <w:trHeight w:val="300"/>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81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1011 · SOGEBANK- RetirementUS$30560.28</w:t>
            </w: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1,253,412.45</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1,253,412.45</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0.00</w:t>
            </w:r>
          </w:p>
        </w:tc>
      </w:tr>
      <w:tr w:rsidR="001A7082" w:rsidRPr="00666285" w:rsidTr="00E53C7A">
        <w:trPr>
          <w:trHeight w:val="315"/>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81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1012 · Retirement intérêts US$121.25</w:t>
            </w:r>
          </w:p>
        </w:tc>
        <w:tc>
          <w:tcPr>
            <w:tcW w:w="1136" w:type="dxa"/>
            <w:tcBorders>
              <w:top w:val="nil"/>
              <w:left w:val="nil"/>
              <w:bottom w:val="single" w:sz="8" w:space="0" w:color="auto"/>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5,922.17</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single" w:sz="8" w:space="0" w:color="auto"/>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5,922.17</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single" w:sz="8" w:space="0" w:color="auto"/>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0.00</w:t>
            </w:r>
          </w:p>
        </w:tc>
      </w:tr>
      <w:tr w:rsidR="001A7082" w:rsidRPr="00666285" w:rsidTr="00E53C7A">
        <w:trPr>
          <w:trHeight w:val="300"/>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4152" w:type="dxa"/>
            <w:gridSpan w:val="2"/>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Total 1010 · SOGEBANK  RetirementUS$30681.53</w:t>
            </w: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1,259,334.62</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1,259,334.62</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0.00</w:t>
            </w:r>
          </w:p>
        </w:tc>
      </w:tr>
      <w:tr w:rsidR="001A7082" w:rsidRPr="00666285" w:rsidTr="00E53C7A">
        <w:trPr>
          <w:trHeight w:val="300"/>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4152" w:type="dxa"/>
            <w:gridSpan w:val="2"/>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1030 · BUH - Compte courant</w:t>
            </w: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164,260.59</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123,868.62</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40,391.97</w:t>
            </w:r>
          </w:p>
        </w:tc>
      </w:tr>
      <w:tr w:rsidR="001A7082" w:rsidRPr="00666285" w:rsidTr="00E53C7A">
        <w:trPr>
          <w:trHeight w:val="300"/>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4152" w:type="dxa"/>
            <w:gridSpan w:val="2"/>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1040 · BUH -Compte courant US$30137.43</w:t>
            </w: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r>
      <w:tr w:rsidR="001A7082" w:rsidRPr="00666285" w:rsidTr="00E53C7A">
        <w:trPr>
          <w:trHeight w:val="315"/>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81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1041-BUH-Compte courant US30137</w:t>
            </w:r>
          </w:p>
        </w:tc>
        <w:tc>
          <w:tcPr>
            <w:tcW w:w="1136" w:type="dxa"/>
            <w:tcBorders>
              <w:top w:val="nil"/>
              <w:left w:val="nil"/>
              <w:bottom w:val="single" w:sz="8" w:space="0" w:color="auto"/>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964,509.73</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single" w:sz="8" w:space="0" w:color="auto"/>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892,943.80</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single" w:sz="8" w:space="0" w:color="auto"/>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71,565.93</w:t>
            </w:r>
          </w:p>
        </w:tc>
      </w:tr>
      <w:tr w:rsidR="001A7082" w:rsidRPr="00666285" w:rsidTr="00E53C7A">
        <w:trPr>
          <w:trHeight w:val="300"/>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4152" w:type="dxa"/>
            <w:gridSpan w:val="2"/>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Total 1040 · BUH -Compte courant US$30137.43</w:t>
            </w: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964,509.73</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892,943.80</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71,565.93</w:t>
            </w:r>
          </w:p>
        </w:tc>
      </w:tr>
      <w:tr w:rsidR="001A7082" w:rsidRPr="00666285" w:rsidTr="00E53C7A">
        <w:trPr>
          <w:trHeight w:val="300"/>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4152" w:type="dxa"/>
            <w:gridSpan w:val="2"/>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1060 · SOGEBANK/Compte DAT10,835.71US</w:t>
            </w: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r>
      <w:tr w:rsidR="001A7082" w:rsidRPr="00666285" w:rsidTr="00E53C7A">
        <w:trPr>
          <w:trHeight w:val="300"/>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81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1061 · Compte DAT US$10,000.00</w:t>
            </w: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437,413.00</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422,545.00</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14,868.00</w:t>
            </w:r>
          </w:p>
        </w:tc>
      </w:tr>
      <w:tr w:rsidR="001A7082" w:rsidRPr="00666285" w:rsidTr="00E53C7A">
        <w:trPr>
          <w:trHeight w:val="315"/>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81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1062 · Compte DAT intérêts US$846.55</w:t>
            </w:r>
          </w:p>
        </w:tc>
        <w:tc>
          <w:tcPr>
            <w:tcW w:w="1136" w:type="dxa"/>
            <w:tcBorders>
              <w:top w:val="nil"/>
              <w:left w:val="nil"/>
              <w:bottom w:val="single" w:sz="8" w:space="0" w:color="auto"/>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37,489.35</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single" w:sz="8" w:space="0" w:color="auto"/>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35,770.55</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single" w:sz="8" w:space="0" w:color="auto"/>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1,718.80</w:t>
            </w:r>
          </w:p>
        </w:tc>
      </w:tr>
      <w:tr w:rsidR="001A7082" w:rsidRPr="00666285" w:rsidTr="00E53C7A">
        <w:trPr>
          <w:trHeight w:val="300"/>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4152" w:type="dxa"/>
            <w:gridSpan w:val="2"/>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Total 1060 · SOGEBANK/Compte DAT10,835.71US</w:t>
            </w: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474,902.35</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458,315.55</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16,586.80</w:t>
            </w:r>
          </w:p>
        </w:tc>
      </w:tr>
      <w:tr w:rsidR="001A7082" w:rsidRPr="00863B5D" w:rsidTr="00E53C7A">
        <w:trPr>
          <w:trHeight w:val="300"/>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4152" w:type="dxa"/>
            <w:gridSpan w:val="2"/>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1070 · CAPT BANK- Cpte DAT US$19072.10</w:t>
            </w: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r>
      <w:tr w:rsidR="001A7082" w:rsidRPr="00666285" w:rsidTr="00E53C7A">
        <w:trPr>
          <w:trHeight w:val="300"/>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81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1071 · CAPITAL BANK-Cpt DATUS$18480.82</w:t>
            </w: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808,375.09</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780,897.81</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27,477.28</w:t>
            </w:r>
          </w:p>
        </w:tc>
      </w:tr>
      <w:tr w:rsidR="001A7082" w:rsidRPr="00666285" w:rsidTr="00E53C7A">
        <w:trPr>
          <w:trHeight w:val="315"/>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81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1072 · Compte DAT intérêts US$596.98</w:t>
            </w: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26,351.51</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25,225.09</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1,126.42</w:t>
            </w:r>
          </w:p>
        </w:tc>
      </w:tr>
      <w:tr w:rsidR="001A7082" w:rsidRPr="00666285" w:rsidTr="00E53C7A">
        <w:trPr>
          <w:trHeight w:val="300"/>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4152" w:type="dxa"/>
            <w:gridSpan w:val="2"/>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Total 1070 · CAPT BANK- Cpte DAT US$19072.10</w:t>
            </w:r>
          </w:p>
        </w:tc>
        <w:tc>
          <w:tcPr>
            <w:tcW w:w="1136" w:type="dxa"/>
            <w:tcBorders>
              <w:top w:val="single" w:sz="8" w:space="0" w:color="auto"/>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834,726.60</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single" w:sz="8" w:space="0" w:color="auto"/>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806,122.90</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single" w:sz="8" w:space="0" w:color="auto"/>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28,603.70</w:t>
            </w:r>
          </w:p>
        </w:tc>
      </w:tr>
      <w:tr w:rsidR="001A7082" w:rsidRPr="00666285" w:rsidTr="00E53C7A">
        <w:trPr>
          <w:trHeight w:val="300"/>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4488" w:type="dxa"/>
            <w:gridSpan w:val="3"/>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Total 1000 · Liquidités</w:t>
            </w: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3,697,733.89</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3,540,585.49</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157,148.40</w:t>
            </w:r>
          </w:p>
        </w:tc>
      </w:tr>
      <w:tr w:rsidR="001A7082" w:rsidRPr="00666285" w:rsidTr="00E53C7A">
        <w:trPr>
          <w:trHeight w:val="300"/>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4824" w:type="dxa"/>
            <w:gridSpan w:val="4"/>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Total Checking/Savings</w:t>
            </w: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3,697,733.89</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3,540,585.49</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157,148.40</w:t>
            </w:r>
          </w:p>
        </w:tc>
      </w:tr>
      <w:tr w:rsidR="001A7082" w:rsidRPr="00666285" w:rsidTr="00E53C7A">
        <w:trPr>
          <w:trHeight w:val="300"/>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4824" w:type="dxa"/>
            <w:gridSpan w:val="4"/>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Other Current Assets</w:t>
            </w: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r>
      <w:tr w:rsidR="001A7082" w:rsidRPr="00666285" w:rsidTr="00E53C7A">
        <w:trPr>
          <w:trHeight w:val="300"/>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4488" w:type="dxa"/>
            <w:gridSpan w:val="3"/>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1400 · Autres comptes à recevoir</w:t>
            </w: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r>
      <w:tr w:rsidR="001A7082" w:rsidRPr="00666285" w:rsidTr="00E53C7A">
        <w:trPr>
          <w:trHeight w:val="300"/>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4152" w:type="dxa"/>
            <w:gridSpan w:val="2"/>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1402 · Avances à activités membres</w:t>
            </w: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65,366.00</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65,366.00</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0.00</w:t>
            </w:r>
          </w:p>
        </w:tc>
      </w:tr>
      <w:tr w:rsidR="001A7082" w:rsidRPr="00666285" w:rsidTr="00E53C7A">
        <w:trPr>
          <w:trHeight w:val="315"/>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4152" w:type="dxa"/>
            <w:gridSpan w:val="2"/>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1403 · Dons, subventions à recevoir</w:t>
            </w:r>
          </w:p>
        </w:tc>
        <w:tc>
          <w:tcPr>
            <w:tcW w:w="1136" w:type="dxa"/>
            <w:tcBorders>
              <w:top w:val="nil"/>
              <w:left w:val="nil"/>
              <w:bottom w:val="single" w:sz="8" w:space="0" w:color="auto"/>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836,384.14</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single" w:sz="8" w:space="0" w:color="auto"/>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700,000.00</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single" w:sz="8" w:space="0" w:color="auto"/>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136,384.14</w:t>
            </w:r>
          </w:p>
        </w:tc>
      </w:tr>
      <w:tr w:rsidR="001A7082" w:rsidRPr="00666285" w:rsidTr="00E53C7A">
        <w:trPr>
          <w:trHeight w:val="300"/>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4488" w:type="dxa"/>
            <w:gridSpan w:val="3"/>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rPr>
            </w:pPr>
            <w:r w:rsidRPr="00666285">
              <w:rPr>
                <w:rFonts w:ascii="Arial" w:eastAsia="Times New Roman" w:hAnsi="Arial" w:cs="Arial"/>
                <w:b/>
                <w:bCs/>
                <w:color w:val="000000"/>
                <w:sz w:val="16"/>
                <w:szCs w:val="16"/>
              </w:rPr>
              <w:t>Total 1400 · Autres comptes à recevoir</w:t>
            </w: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901,750.14</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765,366.00</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136,384.14</w:t>
            </w:r>
          </w:p>
        </w:tc>
      </w:tr>
      <w:tr w:rsidR="001A7082" w:rsidRPr="00666285" w:rsidTr="00E53C7A">
        <w:trPr>
          <w:trHeight w:val="300"/>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4488" w:type="dxa"/>
            <w:gridSpan w:val="3"/>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1410 · Frais payés d'avance</w:t>
            </w: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r>
      <w:tr w:rsidR="001A7082" w:rsidRPr="00666285" w:rsidTr="00E53C7A">
        <w:trPr>
          <w:trHeight w:val="300"/>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4152" w:type="dxa"/>
            <w:gridSpan w:val="2"/>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1411 · Assurance multi-risques</w:t>
            </w: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49,371.98</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52,046.43</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-2,674.45</w:t>
            </w:r>
          </w:p>
        </w:tc>
      </w:tr>
      <w:tr w:rsidR="001A7082" w:rsidRPr="00666285" w:rsidTr="00E53C7A">
        <w:trPr>
          <w:trHeight w:val="315"/>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4152" w:type="dxa"/>
            <w:gridSpan w:val="2"/>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1412 · Autres frais payés d'avance</w:t>
            </w: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2,586.68</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2,586.68</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0.00</w:t>
            </w:r>
          </w:p>
        </w:tc>
      </w:tr>
      <w:tr w:rsidR="001A7082" w:rsidRPr="00666285" w:rsidTr="00E53C7A">
        <w:trPr>
          <w:trHeight w:val="300"/>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4488" w:type="dxa"/>
            <w:gridSpan w:val="3"/>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Total 1410 · Frais payés d'avance</w:t>
            </w:r>
          </w:p>
        </w:tc>
        <w:tc>
          <w:tcPr>
            <w:tcW w:w="1136" w:type="dxa"/>
            <w:tcBorders>
              <w:top w:val="single" w:sz="8" w:space="0" w:color="auto"/>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51,958.66</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single" w:sz="8" w:space="0" w:color="auto"/>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54,633.11</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single" w:sz="8" w:space="0" w:color="auto"/>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-2,674.45</w:t>
            </w:r>
          </w:p>
        </w:tc>
      </w:tr>
      <w:tr w:rsidR="001A7082" w:rsidRPr="00666285" w:rsidTr="00E53C7A">
        <w:trPr>
          <w:trHeight w:val="300"/>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4824" w:type="dxa"/>
            <w:gridSpan w:val="4"/>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Total Other Current Assets</w:t>
            </w: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953,708.80</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819,999.11</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133,709.69</w:t>
            </w:r>
          </w:p>
        </w:tc>
      </w:tr>
      <w:tr w:rsidR="001A7082" w:rsidRPr="00666285" w:rsidTr="00E53C7A">
        <w:trPr>
          <w:trHeight w:val="300"/>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5160" w:type="dxa"/>
            <w:gridSpan w:val="5"/>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Total Current Assets</w:t>
            </w: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4,651,442.69</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4,360,584.60</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290,858.09</w:t>
            </w:r>
          </w:p>
        </w:tc>
      </w:tr>
      <w:tr w:rsidR="001A7082" w:rsidRPr="00666285" w:rsidTr="00E53C7A">
        <w:trPr>
          <w:trHeight w:val="300"/>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1344" w:type="dxa"/>
            <w:gridSpan w:val="4"/>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Fixed Assets</w:t>
            </w:r>
          </w:p>
        </w:tc>
        <w:tc>
          <w:tcPr>
            <w:tcW w:w="381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r>
      <w:tr w:rsidR="001A7082" w:rsidRPr="00666285" w:rsidTr="00E53C7A">
        <w:trPr>
          <w:trHeight w:val="300"/>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4824" w:type="dxa"/>
            <w:gridSpan w:val="4"/>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1500 · Immobilisations au coût</w:t>
            </w: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r>
      <w:tr w:rsidR="001A7082" w:rsidRPr="00666285" w:rsidTr="00E53C7A">
        <w:trPr>
          <w:trHeight w:val="300"/>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4488" w:type="dxa"/>
            <w:gridSpan w:val="3"/>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1510 · Installations et aménagements</w:t>
            </w: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727,814.24</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727,814.24</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0.00</w:t>
            </w:r>
          </w:p>
        </w:tc>
      </w:tr>
      <w:tr w:rsidR="001A7082" w:rsidRPr="00666285" w:rsidTr="00E53C7A">
        <w:trPr>
          <w:trHeight w:val="300"/>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4488" w:type="dxa"/>
            <w:gridSpan w:val="3"/>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1520 · Matériel informatique</w:t>
            </w: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r>
      <w:tr w:rsidR="001A7082" w:rsidRPr="00666285" w:rsidTr="00E53C7A">
        <w:trPr>
          <w:trHeight w:val="300"/>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4152" w:type="dxa"/>
            <w:gridSpan w:val="2"/>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1521 · Ordinateurs, imprimantes, UPS</w:t>
            </w: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329,393.20</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317,109.50</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12,283.70</w:t>
            </w:r>
          </w:p>
        </w:tc>
      </w:tr>
      <w:tr w:rsidR="001A7082" w:rsidRPr="00666285" w:rsidTr="00E53C7A">
        <w:trPr>
          <w:trHeight w:val="315"/>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4152" w:type="dxa"/>
            <w:gridSpan w:val="2"/>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1520 · Matériel informatique - Other</w:t>
            </w:r>
          </w:p>
        </w:tc>
        <w:tc>
          <w:tcPr>
            <w:tcW w:w="1136" w:type="dxa"/>
            <w:tcBorders>
              <w:top w:val="nil"/>
              <w:left w:val="nil"/>
              <w:bottom w:val="single" w:sz="8" w:space="0" w:color="auto"/>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6,462.50</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single" w:sz="8" w:space="0" w:color="auto"/>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6,462.50</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single" w:sz="8" w:space="0" w:color="auto"/>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0.00</w:t>
            </w:r>
          </w:p>
        </w:tc>
      </w:tr>
      <w:tr w:rsidR="001A7082" w:rsidRPr="00666285" w:rsidTr="00E53C7A">
        <w:trPr>
          <w:trHeight w:val="300"/>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4488" w:type="dxa"/>
            <w:gridSpan w:val="3"/>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Total 1520 · Matériel informatique</w:t>
            </w: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335,855.70</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323,572.00</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12,283.70</w:t>
            </w:r>
          </w:p>
        </w:tc>
      </w:tr>
      <w:tr w:rsidR="001A7082" w:rsidRPr="00666285" w:rsidTr="00E53C7A">
        <w:trPr>
          <w:trHeight w:val="300"/>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4488" w:type="dxa"/>
            <w:gridSpan w:val="3"/>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1530 · Matériel roulant</w:t>
            </w: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r>
      <w:tr w:rsidR="001A7082" w:rsidRPr="00666285" w:rsidTr="00E53C7A">
        <w:trPr>
          <w:trHeight w:val="315"/>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4152" w:type="dxa"/>
            <w:gridSpan w:val="2"/>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1531 · Suzuki</w:t>
            </w:r>
          </w:p>
        </w:tc>
        <w:tc>
          <w:tcPr>
            <w:tcW w:w="1136" w:type="dxa"/>
            <w:tcBorders>
              <w:top w:val="nil"/>
              <w:left w:val="nil"/>
              <w:bottom w:val="single" w:sz="8" w:space="0" w:color="auto"/>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937,250.00</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single" w:sz="8" w:space="0" w:color="auto"/>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937,250.00</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single" w:sz="8" w:space="0" w:color="auto"/>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0.00</w:t>
            </w:r>
          </w:p>
        </w:tc>
      </w:tr>
      <w:tr w:rsidR="001A7082" w:rsidRPr="00666285" w:rsidTr="00E53C7A">
        <w:trPr>
          <w:trHeight w:val="300"/>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4488" w:type="dxa"/>
            <w:gridSpan w:val="3"/>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Total 1530 · Matériel roulant</w:t>
            </w: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937,250.00</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937,250.00</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0.00</w:t>
            </w:r>
          </w:p>
        </w:tc>
      </w:tr>
      <w:tr w:rsidR="001A7082" w:rsidRPr="00666285" w:rsidTr="00E53C7A">
        <w:trPr>
          <w:trHeight w:val="300"/>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4488" w:type="dxa"/>
            <w:gridSpan w:val="3"/>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1540 · Matériel et équipement</w:t>
            </w: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r>
      <w:tr w:rsidR="001A7082" w:rsidRPr="00666285" w:rsidTr="00E53C7A">
        <w:trPr>
          <w:trHeight w:val="300"/>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4152" w:type="dxa"/>
            <w:gridSpan w:val="2"/>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1541 · Génératrice</w:t>
            </w: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656,314.80</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656,314.80</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0.00</w:t>
            </w:r>
          </w:p>
        </w:tc>
      </w:tr>
      <w:tr w:rsidR="001A7082" w:rsidRPr="00666285" w:rsidTr="00E53C7A">
        <w:trPr>
          <w:trHeight w:val="300"/>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4152" w:type="dxa"/>
            <w:gridSpan w:val="2"/>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1542 · Climatiseurs</w:t>
            </w: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203,450.00</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203,450.00</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0.00</w:t>
            </w:r>
          </w:p>
        </w:tc>
      </w:tr>
      <w:tr w:rsidR="001A7082" w:rsidRPr="00666285" w:rsidTr="00E53C7A">
        <w:trPr>
          <w:trHeight w:val="300"/>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4152" w:type="dxa"/>
            <w:gridSpan w:val="2"/>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1543 · Photocopieuse et fax</w:t>
            </w: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60,285.50</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60,285.50</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0.00</w:t>
            </w:r>
          </w:p>
        </w:tc>
      </w:tr>
      <w:tr w:rsidR="001A7082" w:rsidRPr="00666285" w:rsidTr="00E53C7A">
        <w:trPr>
          <w:trHeight w:val="300"/>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4152" w:type="dxa"/>
            <w:gridSpan w:val="2"/>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1544 · Inverter</w:t>
            </w: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4,749.50</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4,749.50</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0.00</w:t>
            </w:r>
          </w:p>
        </w:tc>
      </w:tr>
      <w:tr w:rsidR="001A7082" w:rsidRPr="00666285" w:rsidTr="00E53C7A">
        <w:trPr>
          <w:trHeight w:val="315"/>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4152" w:type="dxa"/>
            <w:gridSpan w:val="2"/>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1545 · Réfrigérateur</w:t>
            </w:r>
          </w:p>
        </w:tc>
        <w:tc>
          <w:tcPr>
            <w:tcW w:w="1136" w:type="dxa"/>
            <w:tcBorders>
              <w:top w:val="nil"/>
              <w:left w:val="nil"/>
              <w:bottom w:val="single" w:sz="8" w:space="0" w:color="auto"/>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11,920.01</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single" w:sz="8" w:space="0" w:color="auto"/>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11,920.01</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single" w:sz="8" w:space="0" w:color="auto"/>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0.00</w:t>
            </w:r>
          </w:p>
        </w:tc>
      </w:tr>
      <w:tr w:rsidR="001A7082" w:rsidRPr="00666285" w:rsidTr="00E53C7A">
        <w:trPr>
          <w:trHeight w:val="300"/>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4488" w:type="dxa"/>
            <w:gridSpan w:val="3"/>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Total 1540 · Matériel et équipement</w:t>
            </w: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936,719.81</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936,719.81</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0.00</w:t>
            </w:r>
          </w:p>
        </w:tc>
      </w:tr>
      <w:tr w:rsidR="001A7082" w:rsidRPr="00666285" w:rsidTr="00E53C7A">
        <w:trPr>
          <w:trHeight w:val="300"/>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4488" w:type="dxa"/>
            <w:gridSpan w:val="3"/>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rPr>
            </w:pPr>
            <w:r w:rsidRPr="00666285">
              <w:rPr>
                <w:rFonts w:ascii="Arial" w:eastAsia="Times New Roman" w:hAnsi="Arial" w:cs="Arial"/>
                <w:b/>
                <w:bCs/>
                <w:color w:val="000000"/>
                <w:sz w:val="16"/>
                <w:szCs w:val="16"/>
              </w:rPr>
              <w:t>1550 · Matériel et mobilier de bureau</w:t>
            </w: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rPr>
            </w:pP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rPr>
            </w:pP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rPr>
            </w:pPr>
          </w:p>
        </w:tc>
        <w:tc>
          <w:tcPr>
            <w:tcW w:w="99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rPr>
            </w:pPr>
          </w:p>
        </w:tc>
      </w:tr>
      <w:tr w:rsidR="001A7082" w:rsidRPr="00666285" w:rsidTr="00E53C7A">
        <w:trPr>
          <w:trHeight w:val="300"/>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rPr>
            </w:pPr>
          </w:p>
        </w:tc>
        <w:tc>
          <w:tcPr>
            <w:tcW w:w="4152" w:type="dxa"/>
            <w:gridSpan w:val="2"/>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1551 · Bureaux, classeurs, etc.</w:t>
            </w: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348,313.18</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334,088.68</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14,224.50</w:t>
            </w:r>
          </w:p>
        </w:tc>
      </w:tr>
      <w:tr w:rsidR="001A7082" w:rsidRPr="00666285" w:rsidTr="00E53C7A">
        <w:trPr>
          <w:trHeight w:val="315"/>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4152" w:type="dxa"/>
            <w:gridSpan w:val="2"/>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rPr>
            </w:pPr>
            <w:r w:rsidRPr="00666285">
              <w:rPr>
                <w:rFonts w:ascii="Arial" w:eastAsia="Times New Roman" w:hAnsi="Arial" w:cs="Arial"/>
                <w:b/>
                <w:bCs/>
                <w:color w:val="000000"/>
                <w:sz w:val="16"/>
                <w:szCs w:val="16"/>
              </w:rPr>
              <w:t>1550 · Matériel et mobilier de bureau - Other</w:t>
            </w:r>
          </w:p>
        </w:tc>
        <w:tc>
          <w:tcPr>
            <w:tcW w:w="1136" w:type="dxa"/>
            <w:tcBorders>
              <w:top w:val="nil"/>
              <w:left w:val="nil"/>
              <w:bottom w:val="single" w:sz="8" w:space="0" w:color="auto"/>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38,437.12</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single" w:sz="8" w:space="0" w:color="auto"/>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38,437.12</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single" w:sz="8" w:space="0" w:color="auto"/>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0.00</w:t>
            </w:r>
          </w:p>
        </w:tc>
      </w:tr>
      <w:tr w:rsidR="001A7082" w:rsidRPr="00666285" w:rsidTr="00E53C7A">
        <w:trPr>
          <w:trHeight w:val="300"/>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4488" w:type="dxa"/>
            <w:gridSpan w:val="3"/>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rPr>
            </w:pPr>
            <w:r w:rsidRPr="00666285">
              <w:rPr>
                <w:rFonts w:ascii="Arial" w:eastAsia="Times New Roman" w:hAnsi="Arial" w:cs="Arial"/>
                <w:b/>
                <w:bCs/>
                <w:color w:val="000000"/>
                <w:sz w:val="16"/>
                <w:szCs w:val="16"/>
              </w:rPr>
              <w:t>Total 1550 · Matériel et mobilier de bureau</w:t>
            </w: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386,750.30</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372,525.80</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14,224.50</w:t>
            </w:r>
          </w:p>
        </w:tc>
      </w:tr>
      <w:tr w:rsidR="001A7082" w:rsidRPr="00666285" w:rsidTr="00E53C7A">
        <w:trPr>
          <w:trHeight w:val="300"/>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4488" w:type="dxa"/>
            <w:gridSpan w:val="3"/>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 xml:space="preserve">1560 · Petit </w:t>
            </w:r>
            <w:r>
              <w:rPr>
                <w:rFonts w:ascii="Arial" w:eastAsia="Times New Roman" w:hAnsi="Arial" w:cs="Arial"/>
                <w:b/>
                <w:bCs/>
                <w:color w:val="000000"/>
                <w:sz w:val="16"/>
                <w:szCs w:val="16"/>
                <w:lang w:val="en-US"/>
              </w:rPr>
              <w:t>materiel</w:t>
            </w: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r>
      <w:tr w:rsidR="001A7082" w:rsidRPr="00666285" w:rsidTr="00E53C7A">
        <w:trPr>
          <w:trHeight w:val="315"/>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4152" w:type="dxa"/>
            <w:gridSpan w:val="2"/>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1561 · Réveil, vaisselle, cachepot</w:t>
            </w: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4,265.00</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0.00</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4,265.00</w:t>
            </w:r>
          </w:p>
        </w:tc>
      </w:tr>
      <w:tr w:rsidR="001A7082" w:rsidRPr="00666285" w:rsidTr="00E53C7A">
        <w:trPr>
          <w:trHeight w:val="315"/>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4488" w:type="dxa"/>
            <w:gridSpan w:val="3"/>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Total 1560 · Petit matériel</w:t>
            </w:r>
          </w:p>
        </w:tc>
        <w:tc>
          <w:tcPr>
            <w:tcW w:w="1136" w:type="dxa"/>
            <w:tcBorders>
              <w:top w:val="single" w:sz="8" w:space="0" w:color="auto"/>
              <w:left w:val="nil"/>
              <w:bottom w:val="single" w:sz="8" w:space="0" w:color="auto"/>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4,265.00</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single" w:sz="8" w:space="0" w:color="auto"/>
              <w:left w:val="nil"/>
              <w:bottom w:val="single" w:sz="8" w:space="0" w:color="auto"/>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0.00</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single" w:sz="8" w:space="0" w:color="auto"/>
              <w:left w:val="nil"/>
              <w:bottom w:val="single" w:sz="8" w:space="0" w:color="auto"/>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4,265.00</w:t>
            </w:r>
          </w:p>
        </w:tc>
      </w:tr>
      <w:tr w:rsidR="001A7082" w:rsidRPr="00666285" w:rsidTr="00E53C7A">
        <w:trPr>
          <w:trHeight w:val="300"/>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4824" w:type="dxa"/>
            <w:gridSpan w:val="4"/>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Total 1500 · Immobilisations au coût</w:t>
            </w: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3,328,655.05</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3,297,881.85</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30,773.20</w:t>
            </w:r>
          </w:p>
        </w:tc>
      </w:tr>
      <w:tr w:rsidR="001A7082" w:rsidRPr="00666285" w:rsidTr="00E53C7A">
        <w:trPr>
          <w:trHeight w:val="300"/>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4824" w:type="dxa"/>
            <w:gridSpan w:val="4"/>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1600 · Amortissement cumulé</w:t>
            </w: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r>
      <w:tr w:rsidR="001A7082" w:rsidRPr="00666285" w:rsidTr="00E53C7A">
        <w:trPr>
          <w:trHeight w:val="300"/>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4488" w:type="dxa"/>
            <w:gridSpan w:val="3"/>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1610 · Installations et aménagements</w:t>
            </w: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-727,814.24</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-727,436.83</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-377.41</w:t>
            </w:r>
          </w:p>
        </w:tc>
      </w:tr>
      <w:tr w:rsidR="001A7082" w:rsidRPr="00666285" w:rsidTr="00E53C7A">
        <w:trPr>
          <w:trHeight w:val="300"/>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4488" w:type="dxa"/>
            <w:gridSpan w:val="3"/>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1620 · Matériel informatique</w:t>
            </w: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-327,666.56</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-323,572.00</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-4,094.56</w:t>
            </w:r>
          </w:p>
        </w:tc>
      </w:tr>
      <w:tr w:rsidR="001A7082" w:rsidRPr="00666285" w:rsidTr="00E53C7A">
        <w:trPr>
          <w:trHeight w:val="300"/>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4488" w:type="dxa"/>
            <w:gridSpan w:val="3"/>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1630 · Matériel  roulant</w:t>
            </w: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-437,383.24</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-249,933.28</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-187,449.96</w:t>
            </w:r>
          </w:p>
        </w:tc>
      </w:tr>
      <w:tr w:rsidR="001A7082" w:rsidRPr="00666285" w:rsidTr="00E53C7A">
        <w:trPr>
          <w:trHeight w:val="300"/>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4488" w:type="dxa"/>
            <w:gridSpan w:val="3"/>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1640 · Matériel et équipement</w:t>
            </w: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-868,438.74</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-809,911.86</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-58,526.88</w:t>
            </w:r>
          </w:p>
        </w:tc>
      </w:tr>
      <w:tr w:rsidR="001A7082" w:rsidRPr="00666285" w:rsidTr="00E53C7A">
        <w:trPr>
          <w:trHeight w:val="315"/>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4488" w:type="dxa"/>
            <w:gridSpan w:val="3"/>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rPr>
            </w:pPr>
            <w:r w:rsidRPr="00666285">
              <w:rPr>
                <w:rFonts w:ascii="Arial" w:eastAsia="Times New Roman" w:hAnsi="Arial" w:cs="Arial"/>
                <w:b/>
                <w:bCs/>
                <w:color w:val="000000"/>
                <w:sz w:val="16"/>
                <w:szCs w:val="16"/>
              </w:rPr>
              <w:t>1650 · Matériel et mobilier de bureau</w:t>
            </w: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-344,201.41</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-336,454.37</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-7,747.04</w:t>
            </w:r>
          </w:p>
        </w:tc>
      </w:tr>
      <w:tr w:rsidR="001A7082" w:rsidRPr="00666285" w:rsidTr="00E53C7A">
        <w:trPr>
          <w:trHeight w:val="300"/>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4824" w:type="dxa"/>
            <w:gridSpan w:val="4"/>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Total 1600 · Amortissement cumulé</w:t>
            </w:r>
          </w:p>
        </w:tc>
        <w:tc>
          <w:tcPr>
            <w:tcW w:w="1136" w:type="dxa"/>
            <w:tcBorders>
              <w:top w:val="single" w:sz="8" w:space="0" w:color="auto"/>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-2,705,504.19</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single" w:sz="8" w:space="0" w:color="auto"/>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-2,447,308.34</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single" w:sz="8" w:space="0" w:color="auto"/>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-258,195.85</w:t>
            </w:r>
          </w:p>
        </w:tc>
      </w:tr>
      <w:tr w:rsidR="001A7082" w:rsidRPr="00666285" w:rsidTr="00E53C7A">
        <w:trPr>
          <w:trHeight w:val="300"/>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5160" w:type="dxa"/>
            <w:gridSpan w:val="5"/>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Total Fixed Assets</w:t>
            </w: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623,150.86</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850,573.51</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-227,422.65</w:t>
            </w:r>
          </w:p>
        </w:tc>
      </w:tr>
      <w:tr w:rsidR="001A7082" w:rsidRPr="00666285" w:rsidTr="00E53C7A">
        <w:trPr>
          <w:trHeight w:val="300"/>
        </w:trPr>
        <w:tc>
          <w:tcPr>
            <w:tcW w:w="1680" w:type="dxa"/>
            <w:gridSpan w:val="5"/>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TOTAL ASSETS</w:t>
            </w:r>
          </w:p>
        </w:tc>
        <w:tc>
          <w:tcPr>
            <w:tcW w:w="381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5,274,593.55</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5,211,158.11</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63,435.44</w:t>
            </w:r>
          </w:p>
        </w:tc>
      </w:tr>
      <w:tr w:rsidR="001A7082" w:rsidRPr="00666285" w:rsidTr="00E53C7A">
        <w:trPr>
          <w:trHeight w:val="300"/>
        </w:trPr>
        <w:tc>
          <w:tcPr>
            <w:tcW w:w="5496" w:type="dxa"/>
            <w:gridSpan w:val="6"/>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LIABILITIES &amp; EQUITY</w:t>
            </w: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r>
      <w:tr w:rsidR="001A7082" w:rsidRPr="00666285" w:rsidTr="00E53C7A">
        <w:trPr>
          <w:trHeight w:val="300"/>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1008" w:type="dxa"/>
            <w:gridSpan w:val="3"/>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Liabilities</w:t>
            </w: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81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r>
      <w:tr w:rsidR="001A7082" w:rsidRPr="00666285" w:rsidTr="00E53C7A">
        <w:trPr>
          <w:trHeight w:val="300"/>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4152" w:type="dxa"/>
            <w:gridSpan w:val="2"/>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2100 · Comptes à payer</w:t>
            </w: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r>
      <w:tr w:rsidR="001A7082" w:rsidRPr="00666285" w:rsidTr="00E53C7A">
        <w:trPr>
          <w:trHeight w:val="315"/>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81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2130 · Déductions à la source</w:t>
            </w: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-15,301.16</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-71,252.95</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55,951.79</w:t>
            </w:r>
          </w:p>
        </w:tc>
      </w:tr>
      <w:tr w:rsidR="001A7082" w:rsidRPr="00666285" w:rsidTr="00E53C7A">
        <w:trPr>
          <w:trHeight w:val="300"/>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4152" w:type="dxa"/>
            <w:gridSpan w:val="2"/>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Total 2100 · Comptes à payer</w:t>
            </w:r>
          </w:p>
        </w:tc>
        <w:tc>
          <w:tcPr>
            <w:tcW w:w="1136" w:type="dxa"/>
            <w:tcBorders>
              <w:top w:val="single" w:sz="8" w:space="0" w:color="auto"/>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-15,301.16</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single" w:sz="8" w:space="0" w:color="auto"/>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-71,252.95</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single" w:sz="8" w:space="0" w:color="auto"/>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55,951.79</w:t>
            </w:r>
          </w:p>
        </w:tc>
      </w:tr>
      <w:tr w:rsidR="001A7082" w:rsidRPr="00666285" w:rsidTr="00E53C7A">
        <w:trPr>
          <w:trHeight w:val="300"/>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4488" w:type="dxa"/>
            <w:gridSpan w:val="3"/>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Total Other Current Liabilities</w:t>
            </w: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-15,301.16</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-71,252.95</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55,951.79</w:t>
            </w:r>
          </w:p>
        </w:tc>
      </w:tr>
      <w:tr w:rsidR="001A7082" w:rsidRPr="00666285" w:rsidTr="00E53C7A">
        <w:trPr>
          <w:trHeight w:val="300"/>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4824" w:type="dxa"/>
            <w:gridSpan w:val="4"/>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Total Current Liabilities</w:t>
            </w: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-15,301.16</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-71,252.95</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55,951.79</w:t>
            </w:r>
          </w:p>
        </w:tc>
      </w:tr>
      <w:tr w:rsidR="001A7082" w:rsidRPr="00666285" w:rsidTr="00E53C7A">
        <w:trPr>
          <w:trHeight w:val="300"/>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5160" w:type="dxa"/>
            <w:gridSpan w:val="5"/>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Total Liabilities</w:t>
            </w: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-15,301.16</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-71,252.95</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55,951.79</w:t>
            </w:r>
          </w:p>
        </w:tc>
      </w:tr>
      <w:tr w:rsidR="001A7082" w:rsidRPr="00666285" w:rsidTr="00E53C7A">
        <w:trPr>
          <w:trHeight w:val="300"/>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672" w:type="dxa"/>
            <w:gridSpan w:val="2"/>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Equity</w:t>
            </w: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81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r>
      <w:tr w:rsidR="001A7082" w:rsidRPr="00666285" w:rsidTr="00E53C7A">
        <w:trPr>
          <w:trHeight w:val="300"/>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4824" w:type="dxa"/>
            <w:gridSpan w:val="4"/>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2700 · Provisions</w:t>
            </w: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r>
      <w:tr w:rsidR="001A7082" w:rsidRPr="00666285" w:rsidTr="00E53C7A">
        <w:trPr>
          <w:trHeight w:val="315"/>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4488" w:type="dxa"/>
            <w:gridSpan w:val="3"/>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rPr>
            </w:pPr>
            <w:r w:rsidRPr="00666285">
              <w:rPr>
                <w:rFonts w:ascii="Arial" w:eastAsia="Times New Roman" w:hAnsi="Arial" w:cs="Arial"/>
                <w:b/>
                <w:bCs/>
                <w:color w:val="000000"/>
                <w:sz w:val="16"/>
                <w:szCs w:val="16"/>
              </w:rPr>
              <w:t>2730 · Provision pour fonds de pension</w:t>
            </w:r>
          </w:p>
        </w:tc>
        <w:tc>
          <w:tcPr>
            <w:tcW w:w="1136" w:type="dxa"/>
            <w:tcBorders>
              <w:top w:val="nil"/>
              <w:left w:val="nil"/>
              <w:bottom w:val="single" w:sz="8" w:space="0" w:color="auto"/>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1,255,435.42</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single" w:sz="8" w:space="0" w:color="auto"/>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1,255,435.42</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single" w:sz="8" w:space="0" w:color="auto"/>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0.00</w:t>
            </w:r>
          </w:p>
        </w:tc>
      </w:tr>
      <w:tr w:rsidR="001A7082" w:rsidRPr="00666285" w:rsidTr="00E53C7A">
        <w:trPr>
          <w:trHeight w:val="300"/>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4824" w:type="dxa"/>
            <w:gridSpan w:val="4"/>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Total 2700 · Provisions</w:t>
            </w: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1,255,435.42</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1,255,435.42</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0.00</w:t>
            </w:r>
          </w:p>
        </w:tc>
      </w:tr>
      <w:tr w:rsidR="001A7082" w:rsidRPr="00666285" w:rsidTr="00E53C7A">
        <w:trPr>
          <w:trHeight w:val="300"/>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4824" w:type="dxa"/>
            <w:gridSpan w:val="4"/>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3010 · Apport initial des membres</w:t>
            </w: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1,800.00</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1,800.00</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0.00</w:t>
            </w:r>
          </w:p>
        </w:tc>
      </w:tr>
      <w:tr w:rsidR="001A7082" w:rsidRPr="00666285" w:rsidTr="00E53C7A">
        <w:trPr>
          <w:trHeight w:val="300"/>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4824" w:type="dxa"/>
            <w:gridSpan w:val="4"/>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3020 · Apport d'organismes d'aide</w:t>
            </w: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149,089.70</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149,089.70</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0.00</w:t>
            </w:r>
          </w:p>
        </w:tc>
      </w:tr>
      <w:tr w:rsidR="001A7082" w:rsidRPr="00666285" w:rsidTr="00E53C7A">
        <w:trPr>
          <w:trHeight w:val="300"/>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4824" w:type="dxa"/>
            <w:gridSpan w:val="4"/>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3030 · Capital</w:t>
            </w: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564,914.25</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564,914.25</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0.00</w:t>
            </w:r>
          </w:p>
        </w:tc>
      </w:tr>
      <w:tr w:rsidR="001A7082" w:rsidRPr="00666285" w:rsidTr="00E53C7A">
        <w:trPr>
          <w:trHeight w:val="300"/>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4824" w:type="dxa"/>
            <w:gridSpan w:val="4"/>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3050 · Report à nouveau</w:t>
            </w: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1,364,835.91</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1,364,835.91</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0.00</w:t>
            </w:r>
          </w:p>
        </w:tc>
      </w:tr>
      <w:tr w:rsidR="001A7082" w:rsidRPr="00666285" w:rsidTr="00E53C7A">
        <w:trPr>
          <w:trHeight w:val="300"/>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4824" w:type="dxa"/>
            <w:gridSpan w:val="4"/>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3901 · Surplus accumulé</w:t>
            </w: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1,946,335.78</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1,914,428.70</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31,907.08</w:t>
            </w:r>
          </w:p>
        </w:tc>
      </w:tr>
      <w:tr w:rsidR="001A7082" w:rsidRPr="00666285" w:rsidTr="00E53C7A">
        <w:trPr>
          <w:trHeight w:val="315"/>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4824" w:type="dxa"/>
            <w:gridSpan w:val="4"/>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Net Income</w:t>
            </w: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7,483.65</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31,907.08</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-24,423.43</w:t>
            </w:r>
          </w:p>
        </w:tc>
      </w:tr>
      <w:tr w:rsidR="001A7082" w:rsidRPr="00666285" w:rsidTr="00E53C7A">
        <w:trPr>
          <w:trHeight w:val="300"/>
        </w:trPr>
        <w:tc>
          <w:tcPr>
            <w:tcW w:w="3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1344" w:type="dxa"/>
            <w:gridSpan w:val="4"/>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Total Equity</w:t>
            </w:r>
          </w:p>
        </w:tc>
        <w:tc>
          <w:tcPr>
            <w:tcW w:w="381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p>
        </w:tc>
        <w:tc>
          <w:tcPr>
            <w:tcW w:w="1136" w:type="dxa"/>
            <w:tcBorders>
              <w:top w:val="single" w:sz="8" w:space="0" w:color="auto"/>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5,289,894.71</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single" w:sz="8" w:space="0" w:color="auto"/>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5,282,411.06</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single" w:sz="8" w:space="0" w:color="auto"/>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7,483.65</w:t>
            </w:r>
          </w:p>
        </w:tc>
      </w:tr>
      <w:tr w:rsidR="001A7082" w:rsidRPr="00666285" w:rsidTr="00E53C7A">
        <w:trPr>
          <w:trHeight w:val="300"/>
        </w:trPr>
        <w:tc>
          <w:tcPr>
            <w:tcW w:w="5496" w:type="dxa"/>
            <w:gridSpan w:val="6"/>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b/>
                <w:bCs/>
                <w:color w:val="000000"/>
                <w:sz w:val="16"/>
                <w:szCs w:val="16"/>
                <w:lang w:val="en-US"/>
              </w:rPr>
            </w:pPr>
            <w:r w:rsidRPr="00666285">
              <w:rPr>
                <w:rFonts w:ascii="Arial" w:eastAsia="Times New Roman" w:hAnsi="Arial" w:cs="Arial"/>
                <w:b/>
                <w:bCs/>
                <w:color w:val="000000"/>
                <w:sz w:val="16"/>
                <w:szCs w:val="16"/>
                <w:lang w:val="en-US"/>
              </w:rPr>
              <w:t>TOTAL LIABILITIES &amp; EQUITY</w:t>
            </w: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5,274,593.55</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113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5,211,158.11</w:t>
            </w:r>
          </w:p>
        </w:tc>
        <w:tc>
          <w:tcPr>
            <w:tcW w:w="25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rPr>
                <w:rFonts w:ascii="Arial" w:eastAsia="Times New Roman" w:hAnsi="Arial" w:cs="Arial"/>
                <w:color w:val="000000"/>
                <w:sz w:val="16"/>
                <w:szCs w:val="16"/>
                <w:lang w:val="en-US"/>
              </w:rPr>
            </w:pPr>
          </w:p>
        </w:tc>
        <w:tc>
          <w:tcPr>
            <w:tcW w:w="996" w:type="dxa"/>
            <w:tcBorders>
              <w:top w:val="nil"/>
              <w:left w:val="nil"/>
              <w:bottom w:val="nil"/>
              <w:right w:val="nil"/>
            </w:tcBorders>
            <w:shd w:val="clear" w:color="auto" w:fill="auto"/>
            <w:noWrap/>
            <w:vAlign w:val="bottom"/>
            <w:hideMark/>
          </w:tcPr>
          <w:p w:rsidR="001A7082" w:rsidRPr="00666285" w:rsidRDefault="001A7082" w:rsidP="00E53C7A">
            <w:pPr>
              <w:spacing w:after="0" w:line="240" w:lineRule="auto"/>
              <w:jc w:val="right"/>
              <w:rPr>
                <w:rFonts w:ascii="Arial" w:eastAsia="Times New Roman" w:hAnsi="Arial" w:cs="Arial"/>
                <w:color w:val="000000"/>
                <w:sz w:val="16"/>
                <w:szCs w:val="16"/>
                <w:lang w:val="en-US"/>
              </w:rPr>
            </w:pPr>
            <w:r w:rsidRPr="00666285">
              <w:rPr>
                <w:rFonts w:ascii="Arial" w:eastAsia="Times New Roman" w:hAnsi="Arial" w:cs="Arial"/>
                <w:color w:val="000000"/>
                <w:sz w:val="16"/>
                <w:szCs w:val="16"/>
                <w:lang w:val="en-US"/>
              </w:rPr>
              <w:t>63,435.44</w:t>
            </w:r>
          </w:p>
        </w:tc>
      </w:tr>
    </w:tbl>
    <w:p w:rsidR="007C1D21" w:rsidRPr="001A5F38" w:rsidRDefault="007C1D21" w:rsidP="00B65035">
      <w:pPr>
        <w:tabs>
          <w:tab w:val="left" w:pos="1440"/>
          <w:tab w:val="left" w:pos="1530"/>
        </w:tabs>
        <w:spacing w:after="0"/>
        <w:jc w:val="both"/>
        <w:rPr>
          <w:rFonts w:cs="Times New Roman"/>
          <w:sz w:val="28"/>
          <w:szCs w:val="28"/>
          <w:lang w:eastAsia="ko-KR"/>
        </w:rPr>
      </w:pPr>
    </w:p>
    <w:sectPr w:rsidR="007C1D21" w:rsidRPr="001A5F38" w:rsidSect="0050225A">
      <w:headerReference w:type="default" r:id="rId11"/>
      <w:pgSz w:w="12240" w:h="15840"/>
      <w:pgMar w:top="720" w:right="990" w:bottom="135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90D" w:rsidRDefault="0092490D" w:rsidP="00A03558">
      <w:pPr>
        <w:spacing w:after="0" w:line="240" w:lineRule="auto"/>
      </w:pPr>
      <w:r>
        <w:separator/>
      </w:r>
    </w:p>
  </w:endnote>
  <w:endnote w:type="continuationSeparator" w:id="0">
    <w:p w:rsidR="0092490D" w:rsidRDefault="0092490D" w:rsidP="00A03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90D" w:rsidRDefault="0092490D" w:rsidP="00A03558">
      <w:pPr>
        <w:spacing w:after="0" w:line="240" w:lineRule="auto"/>
      </w:pPr>
      <w:r>
        <w:separator/>
      </w:r>
    </w:p>
  </w:footnote>
  <w:footnote w:type="continuationSeparator" w:id="0">
    <w:p w:rsidR="0092490D" w:rsidRDefault="0092490D" w:rsidP="00A03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8"/>
        <w:szCs w:val="28"/>
      </w:rPr>
      <w:id w:val="663413"/>
      <w:docPartObj>
        <w:docPartGallery w:val="Page Numbers (Top of Page)"/>
        <w:docPartUnique/>
      </w:docPartObj>
    </w:sdtPr>
    <w:sdtEndPr/>
    <w:sdtContent>
      <w:p w:rsidR="002010B7" w:rsidRDefault="002010B7">
        <w:pPr>
          <w:pStyle w:val="Header"/>
          <w:jc w:val="center"/>
          <w:rPr>
            <w:rFonts w:asciiTheme="majorHAnsi" w:hAnsiTheme="majorHAnsi"/>
            <w:sz w:val="28"/>
            <w:szCs w:val="28"/>
          </w:rPr>
        </w:pPr>
        <w:r>
          <w:rPr>
            <w:rFonts w:asciiTheme="majorHAnsi" w:hAnsiTheme="majorHAnsi"/>
            <w:sz w:val="28"/>
            <w:szCs w:val="28"/>
          </w:rPr>
          <w:t xml:space="preserve">- </w:t>
        </w:r>
        <w:r w:rsidR="0092490D">
          <w:fldChar w:fldCharType="begin"/>
        </w:r>
        <w:r w:rsidR="0092490D">
          <w:instrText xml:space="preserve"> PAGE    \* MERGEFORMAT </w:instrText>
        </w:r>
        <w:r w:rsidR="0092490D">
          <w:fldChar w:fldCharType="separate"/>
        </w:r>
        <w:r w:rsidR="0084358A" w:rsidRPr="0084358A">
          <w:rPr>
            <w:rFonts w:asciiTheme="majorHAnsi" w:hAnsiTheme="majorHAnsi"/>
            <w:noProof/>
            <w:sz w:val="28"/>
            <w:szCs w:val="28"/>
          </w:rPr>
          <w:t>6</w:t>
        </w:r>
        <w:r w:rsidR="0092490D">
          <w:rPr>
            <w:rFonts w:asciiTheme="majorHAnsi" w:hAnsiTheme="majorHAnsi"/>
            <w:noProof/>
            <w:sz w:val="28"/>
            <w:szCs w:val="28"/>
          </w:rPr>
          <w:fldChar w:fldCharType="end"/>
        </w:r>
        <w:r>
          <w:rPr>
            <w:rFonts w:asciiTheme="majorHAnsi" w:hAnsiTheme="majorHAnsi"/>
            <w:sz w:val="28"/>
            <w:szCs w:val="28"/>
          </w:rPr>
          <w:t xml:space="preserve"> -</w:t>
        </w:r>
      </w:p>
    </w:sdtContent>
  </w:sdt>
  <w:p w:rsidR="002010B7" w:rsidRDefault="002010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26301"/>
    <w:multiLevelType w:val="hybridMultilevel"/>
    <w:tmpl w:val="AAE6EEEC"/>
    <w:lvl w:ilvl="0" w:tplc="5BB4789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922B3"/>
    <w:multiLevelType w:val="hybridMultilevel"/>
    <w:tmpl w:val="6DF84392"/>
    <w:lvl w:ilvl="0" w:tplc="C932FD5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2B673A"/>
    <w:multiLevelType w:val="hybridMultilevel"/>
    <w:tmpl w:val="7DF8FEAA"/>
    <w:lvl w:ilvl="0" w:tplc="1F823310">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F7698D"/>
    <w:multiLevelType w:val="hybridMultilevel"/>
    <w:tmpl w:val="1E36606A"/>
    <w:lvl w:ilvl="0" w:tplc="0D28F664">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4ED5634"/>
    <w:multiLevelType w:val="hybridMultilevel"/>
    <w:tmpl w:val="FA46E712"/>
    <w:lvl w:ilvl="0" w:tplc="94644C4E">
      <w:start w:val="1"/>
      <w:numFmt w:val="decimal"/>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7817B9"/>
    <w:multiLevelType w:val="hybridMultilevel"/>
    <w:tmpl w:val="9FB4574A"/>
    <w:lvl w:ilvl="0" w:tplc="94644C4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20114A"/>
    <w:multiLevelType w:val="hybridMultilevel"/>
    <w:tmpl w:val="A1B8AE40"/>
    <w:lvl w:ilvl="0" w:tplc="953ED4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9B7259E"/>
    <w:multiLevelType w:val="hybridMultilevel"/>
    <w:tmpl w:val="D012F648"/>
    <w:lvl w:ilvl="0" w:tplc="B5F614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F6129B"/>
    <w:multiLevelType w:val="hybridMultilevel"/>
    <w:tmpl w:val="67B8660E"/>
    <w:lvl w:ilvl="0" w:tplc="8B70D78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8646CD"/>
    <w:multiLevelType w:val="hybridMultilevel"/>
    <w:tmpl w:val="116CA3EC"/>
    <w:lvl w:ilvl="0" w:tplc="A484EB9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CC3D0C"/>
    <w:multiLevelType w:val="hybridMultilevel"/>
    <w:tmpl w:val="116CA3EC"/>
    <w:lvl w:ilvl="0" w:tplc="A484EB9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046532"/>
    <w:multiLevelType w:val="hybridMultilevel"/>
    <w:tmpl w:val="E5A80974"/>
    <w:lvl w:ilvl="0" w:tplc="E280F00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0D3BA3"/>
    <w:multiLevelType w:val="hybridMultilevel"/>
    <w:tmpl w:val="2E1E7AB6"/>
    <w:lvl w:ilvl="0" w:tplc="263ADA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F54275"/>
    <w:multiLevelType w:val="hybridMultilevel"/>
    <w:tmpl w:val="0C569116"/>
    <w:lvl w:ilvl="0" w:tplc="D3807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9F782F"/>
    <w:multiLevelType w:val="hybridMultilevel"/>
    <w:tmpl w:val="7172BB44"/>
    <w:lvl w:ilvl="0" w:tplc="263ADAFA">
      <w:start w:val="1"/>
      <w:numFmt w:val="upperRoman"/>
      <w:lvlText w:val="%1)"/>
      <w:lvlJc w:val="left"/>
      <w:pPr>
        <w:ind w:left="1980" w:hanging="72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77D04A68"/>
    <w:multiLevelType w:val="hybridMultilevel"/>
    <w:tmpl w:val="5CAC8FFC"/>
    <w:lvl w:ilvl="0" w:tplc="1E201A68">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9AB703D"/>
    <w:multiLevelType w:val="hybridMultilevel"/>
    <w:tmpl w:val="E2624790"/>
    <w:lvl w:ilvl="0" w:tplc="019E5D6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2"/>
  </w:num>
  <w:num w:numId="2">
    <w:abstractNumId w:val="15"/>
  </w:num>
  <w:num w:numId="3">
    <w:abstractNumId w:val="16"/>
  </w:num>
  <w:num w:numId="4">
    <w:abstractNumId w:val="6"/>
  </w:num>
  <w:num w:numId="5">
    <w:abstractNumId w:val="9"/>
  </w:num>
  <w:num w:numId="6">
    <w:abstractNumId w:val="14"/>
  </w:num>
  <w:num w:numId="7">
    <w:abstractNumId w:val="5"/>
  </w:num>
  <w:num w:numId="8">
    <w:abstractNumId w:val="4"/>
  </w:num>
  <w:num w:numId="9">
    <w:abstractNumId w:val="2"/>
  </w:num>
  <w:num w:numId="10">
    <w:abstractNumId w:val="11"/>
  </w:num>
  <w:num w:numId="11">
    <w:abstractNumId w:val="8"/>
  </w:num>
  <w:num w:numId="12">
    <w:abstractNumId w:val="1"/>
  </w:num>
  <w:num w:numId="13">
    <w:abstractNumId w:val="3"/>
  </w:num>
  <w:num w:numId="14">
    <w:abstractNumId w:val="0"/>
  </w:num>
  <w:num w:numId="15">
    <w:abstractNumId w:val="13"/>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368"/>
    <w:rsid w:val="00024737"/>
    <w:rsid w:val="0002523A"/>
    <w:rsid w:val="0003754F"/>
    <w:rsid w:val="000449DA"/>
    <w:rsid w:val="000455DF"/>
    <w:rsid w:val="00055441"/>
    <w:rsid w:val="000558B6"/>
    <w:rsid w:val="00056509"/>
    <w:rsid w:val="00066E37"/>
    <w:rsid w:val="0007499B"/>
    <w:rsid w:val="00075E71"/>
    <w:rsid w:val="0007649C"/>
    <w:rsid w:val="00077C55"/>
    <w:rsid w:val="000913B8"/>
    <w:rsid w:val="00092040"/>
    <w:rsid w:val="00092322"/>
    <w:rsid w:val="000A1A74"/>
    <w:rsid w:val="000A506D"/>
    <w:rsid w:val="000A7231"/>
    <w:rsid w:val="000C1930"/>
    <w:rsid w:val="000C3654"/>
    <w:rsid w:val="000E743D"/>
    <w:rsid w:val="000F2A60"/>
    <w:rsid w:val="00102C87"/>
    <w:rsid w:val="001131EA"/>
    <w:rsid w:val="00120BF4"/>
    <w:rsid w:val="001215CC"/>
    <w:rsid w:val="00125702"/>
    <w:rsid w:val="00131B13"/>
    <w:rsid w:val="001500CF"/>
    <w:rsid w:val="001519EF"/>
    <w:rsid w:val="00153C0E"/>
    <w:rsid w:val="0015548D"/>
    <w:rsid w:val="0016010F"/>
    <w:rsid w:val="001651BC"/>
    <w:rsid w:val="00175687"/>
    <w:rsid w:val="00185984"/>
    <w:rsid w:val="001925BB"/>
    <w:rsid w:val="001A3430"/>
    <w:rsid w:val="001A5F38"/>
    <w:rsid w:val="001A62F0"/>
    <w:rsid w:val="001A7082"/>
    <w:rsid w:val="001B4714"/>
    <w:rsid w:val="001C6F0F"/>
    <w:rsid w:val="001D56D6"/>
    <w:rsid w:val="001F0160"/>
    <w:rsid w:val="001F2A22"/>
    <w:rsid w:val="002010B7"/>
    <w:rsid w:val="00205EBA"/>
    <w:rsid w:val="002151DF"/>
    <w:rsid w:val="002160FD"/>
    <w:rsid w:val="002163FA"/>
    <w:rsid w:val="002241B1"/>
    <w:rsid w:val="00224309"/>
    <w:rsid w:val="00226607"/>
    <w:rsid w:val="002337C6"/>
    <w:rsid w:val="00237578"/>
    <w:rsid w:val="00241D07"/>
    <w:rsid w:val="0024734A"/>
    <w:rsid w:val="00252FD3"/>
    <w:rsid w:val="00255544"/>
    <w:rsid w:val="002579BF"/>
    <w:rsid w:val="00263E46"/>
    <w:rsid w:val="00266EE9"/>
    <w:rsid w:val="002825A7"/>
    <w:rsid w:val="002833A0"/>
    <w:rsid w:val="0028627A"/>
    <w:rsid w:val="002A5DD3"/>
    <w:rsid w:val="002B17E5"/>
    <w:rsid w:val="002B749B"/>
    <w:rsid w:val="002B7930"/>
    <w:rsid w:val="002C563D"/>
    <w:rsid w:val="002D6C4B"/>
    <w:rsid w:val="002D7DEC"/>
    <w:rsid w:val="002E4CA4"/>
    <w:rsid w:val="002E6D21"/>
    <w:rsid w:val="002E754F"/>
    <w:rsid w:val="002F20D0"/>
    <w:rsid w:val="00303985"/>
    <w:rsid w:val="0031113F"/>
    <w:rsid w:val="00317809"/>
    <w:rsid w:val="003247A2"/>
    <w:rsid w:val="00324A13"/>
    <w:rsid w:val="00334D10"/>
    <w:rsid w:val="003535E5"/>
    <w:rsid w:val="00353A6A"/>
    <w:rsid w:val="0035547E"/>
    <w:rsid w:val="00364E38"/>
    <w:rsid w:val="003722B8"/>
    <w:rsid w:val="003818B4"/>
    <w:rsid w:val="00384F1B"/>
    <w:rsid w:val="00385A5F"/>
    <w:rsid w:val="00385B19"/>
    <w:rsid w:val="003872A0"/>
    <w:rsid w:val="00394224"/>
    <w:rsid w:val="003A0052"/>
    <w:rsid w:val="003A044F"/>
    <w:rsid w:val="003A64BE"/>
    <w:rsid w:val="003C1050"/>
    <w:rsid w:val="003C4EE8"/>
    <w:rsid w:val="003C64F4"/>
    <w:rsid w:val="003C7872"/>
    <w:rsid w:val="003D00F8"/>
    <w:rsid w:val="003E1B88"/>
    <w:rsid w:val="003F1438"/>
    <w:rsid w:val="003F3957"/>
    <w:rsid w:val="00400ABA"/>
    <w:rsid w:val="0040203C"/>
    <w:rsid w:val="00404E1F"/>
    <w:rsid w:val="00405AA0"/>
    <w:rsid w:val="00405E04"/>
    <w:rsid w:val="0040711F"/>
    <w:rsid w:val="00411556"/>
    <w:rsid w:val="00416014"/>
    <w:rsid w:val="00422410"/>
    <w:rsid w:val="00432954"/>
    <w:rsid w:val="00452F32"/>
    <w:rsid w:val="004611CC"/>
    <w:rsid w:val="00470DCD"/>
    <w:rsid w:val="0048338A"/>
    <w:rsid w:val="004918C1"/>
    <w:rsid w:val="004A1D23"/>
    <w:rsid w:val="004B277A"/>
    <w:rsid w:val="004C6AF5"/>
    <w:rsid w:val="004C7C30"/>
    <w:rsid w:val="004D274A"/>
    <w:rsid w:val="004D30AD"/>
    <w:rsid w:val="004D3299"/>
    <w:rsid w:val="004D39AD"/>
    <w:rsid w:val="004D4A41"/>
    <w:rsid w:val="004E3863"/>
    <w:rsid w:val="004E4EA5"/>
    <w:rsid w:val="004E7DC5"/>
    <w:rsid w:val="004F4767"/>
    <w:rsid w:val="004F48B6"/>
    <w:rsid w:val="004F490B"/>
    <w:rsid w:val="0050225A"/>
    <w:rsid w:val="00510B97"/>
    <w:rsid w:val="00512A79"/>
    <w:rsid w:val="00514390"/>
    <w:rsid w:val="00520F49"/>
    <w:rsid w:val="00527308"/>
    <w:rsid w:val="00527DC6"/>
    <w:rsid w:val="00534ECD"/>
    <w:rsid w:val="005447D4"/>
    <w:rsid w:val="00550C53"/>
    <w:rsid w:val="00551480"/>
    <w:rsid w:val="00555AAA"/>
    <w:rsid w:val="005633E5"/>
    <w:rsid w:val="00564591"/>
    <w:rsid w:val="00570984"/>
    <w:rsid w:val="005746EF"/>
    <w:rsid w:val="005845BB"/>
    <w:rsid w:val="00585EAB"/>
    <w:rsid w:val="00586398"/>
    <w:rsid w:val="005961B0"/>
    <w:rsid w:val="005A2418"/>
    <w:rsid w:val="005A45C5"/>
    <w:rsid w:val="005B004F"/>
    <w:rsid w:val="005B6D4E"/>
    <w:rsid w:val="005C1E6B"/>
    <w:rsid w:val="005C43ED"/>
    <w:rsid w:val="005C7C0F"/>
    <w:rsid w:val="005E423E"/>
    <w:rsid w:val="005E745F"/>
    <w:rsid w:val="005E7F33"/>
    <w:rsid w:val="005F7839"/>
    <w:rsid w:val="006065B6"/>
    <w:rsid w:val="00625B18"/>
    <w:rsid w:val="00626EFE"/>
    <w:rsid w:val="00637DF3"/>
    <w:rsid w:val="0064582E"/>
    <w:rsid w:val="00646B8E"/>
    <w:rsid w:val="00646EC4"/>
    <w:rsid w:val="006508E7"/>
    <w:rsid w:val="0066079A"/>
    <w:rsid w:val="00667E44"/>
    <w:rsid w:val="006705FC"/>
    <w:rsid w:val="006838EB"/>
    <w:rsid w:val="00684F67"/>
    <w:rsid w:val="00687C8B"/>
    <w:rsid w:val="00692930"/>
    <w:rsid w:val="006A3B7C"/>
    <w:rsid w:val="006B3E42"/>
    <w:rsid w:val="006B7018"/>
    <w:rsid w:val="006C2F05"/>
    <w:rsid w:val="006D3386"/>
    <w:rsid w:val="006D3698"/>
    <w:rsid w:val="006E50C0"/>
    <w:rsid w:val="006E6A1C"/>
    <w:rsid w:val="0070228B"/>
    <w:rsid w:val="00702DE9"/>
    <w:rsid w:val="00713B37"/>
    <w:rsid w:val="007166D5"/>
    <w:rsid w:val="00716A64"/>
    <w:rsid w:val="0073562D"/>
    <w:rsid w:val="00736E66"/>
    <w:rsid w:val="00747315"/>
    <w:rsid w:val="00772122"/>
    <w:rsid w:val="00773E6F"/>
    <w:rsid w:val="00776B70"/>
    <w:rsid w:val="0078560E"/>
    <w:rsid w:val="00786F53"/>
    <w:rsid w:val="007A1539"/>
    <w:rsid w:val="007A26C2"/>
    <w:rsid w:val="007A615D"/>
    <w:rsid w:val="007B0B22"/>
    <w:rsid w:val="007B0F53"/>
    <w:rsid w:val="007C1045"/>
    <w:rsid w:val="007C1778"/>
    <w:rsid w:val="007C1D21"/>
    <w:rsid w:val="007D3B43"/>
    <w:rsid w:val="007D4368"/>
    <w:rsid w:val="007E0CA6"/>
    <w:rsid w:val="007E37C4"/>
    <w:rsid w:val="007E68CE"/>
    <w:rsid w:val="007F3199"/>
    <w:rsid w:val="007F63A0"/>
    <w:rsid w:val="008039BA"/>
    <w:rsid w:val="0082007E"/>
    <w:rsid w:val="0082154D"/>
    <w:rsid w:val="00826EDA"/>
    <w:rsid w:val="0082795F"/>
    <w:rsid w:val="00833477"/>
    <w:rsid w:val="00843257"/>
    <w:rsid w:val="0084358A"/>
    <w:rsid w:val="00844798"/>
    <w:rsid w:val="0084531D"/>
    <w:rsid w:val="008509DB"/>
    <w:rsid w:val="00852983"/>
    <w:rsid w:val="008545BA"/>
    <w:rsid w:val="008576BF"/>
    <w:rsid w:val="008618F8"/>
    <w:rsid w:val="00863B5D"/>
    <w:rsid w:val="00863E6A"/>
    <w:rsid w:val="0086463C"/>
    <w:rsid w:val="00867725"/>
    <w:rsid w:val="00883989"/>
    <w:rsid w:val="00887B85"/>
    <w:rsid w:val="008930F9"/>
    <w:rsid w:val="00896C68"/>
    <w:rsid w:val="008976D2"/>
    <w:rsid w:val="00897B2A"/>
    <w:rsid w:val="008A1E87"/>
    <w:rsid w:val="008A1F1A"/>
    <w:rsid w:val="008A36B8"/>
    <w:rsid w:val="008A6A4C"/>
    <w:rsid w:val="008A6D0F"/>
    <w:rsid w:val="008C4180"/>
    <w:rsid w:val="008D667B"/>
    <w:rsid w:val="008E4404"/>
    <w:rsid w:val="008E6536"/>
    <w:rsid w:val="008E7CE9"/>
    <w:rsid w:val="0092076F"/>
    <w:rsid w:val="0092490D"/>
    <w:rsid w:val="00927802"/>
    <w:rsid w:val="00930395"/>
    <w:rsid w:val="00930FDF"/>
    <w:rsid w:val="009352BD"/>
    <w:rsid w:val="00936C8C"/>
    <w:rsid w:val="00937D82"/>
    <w:rsid w:val="009405EB"/>
    <w:rsid w:val="00943501"/>
    <w:rsid w:val="00944C49"/>
    <w:rsid w:val="00945274"/>
    <w:rsid w:val="009546E6"/>
    <w:rsid w:val="0096553A"/>
    <w:rsid w:val="00971240"/>
    <w:rsid w:val="00974C00"/>
    <w:rsid w:val="00982EC6"/>
    <w:rsid w:val="009943E9"/>
    <w:rsid w:val="00996C62"/>
    <w:rsid w:val="009A4067"/>
    <w:rsid w:val="009A6303"/>
    <w:rsid w:val="009A68CE"/>
    <w:rsid w:val="009B105B"/>
    <w:rsid w:val="009C703D"/>
    <w:rsid w:val="009D08E9"/>
    <w:rsid w:val="009D0DC1"/>
    <w:rsid w:val="009D1710"/>
    <w:rsid w:val="009D5EB8"/>
    <w:rsid w:val="009E63F3"/>
    <w:rsid w:val="009F1737"/>
    <w:rsid w:val="00A03558"/>
    <w:rsid w:val="00A062A2"/>
    <w:rsid w:val="00A12DA9"/>
    <w:rsid w:val="00A2323A"/>
    <w:rsid w:val="00A4531B"/>
    <w:rsid w:val="00A516FA"/>
    <w:rsid w:val="00A530DD"/>
    <w:rsid w:val="00A54BD5"/>
    <w:rsid w:val="00A65A1D"/>
    <w:rsid w:val="00A730EB"/>
    <w:rsid w:val="00A77B3E"/>
    <w:rsid w:val="00A84DC6"/>
    <w:rsid w:val="00AA3328"/>
    <w:rsid w:val="00AA4BC9"/>
    <w:rsid w:val="00AA6135"/>
    <w:rsid w:val="00AA7DF7"/>
    <w:rsid w:val="00AB384C"/>
    <w:rsid w:val="00AC57F4"/>
    <w:rsid w:val="00AC66AE"/>
    <w:rsid w:val="00AC6EDE"/>
    <w:rsid w:val="00AD27FC"/>
    <w:rsid w:val="00AD390D"/>
    <w:rsid w:val="00AD7B27"/>
    <w:rsid w:val="00AE3DDD"/>
    <w:rsid w:val="00AE438C"/>
    <w:rsid w:val="00AE7E51"/>
    <w:rsid w:val="00AF4489"/>
    <w:rsid w:val="00AF61D9"/>
    <w:rsid w:val="00AF652E"/>
    <w:rsid w:val="00AF6D23"/>
    <w:rsid w:val="00B03E55"/>
    <w:rsid w:val="00B17BF4"/>
    <w:rsid w:val="00B270E7"/>
    <w:rsid w:val="00B30568"/>
    <w:rsid w:val="00B376C9"/>
    <w:rsid w:val="00B53CE1"/>
    <w:rsid w:val="00B55AD4"/>
    <w:rsid w:val="00B5623D"/>
    <w:rsid w:val="00B60DD2"/>
    <w:rsid w:val="00B64CED"/>
    <w:rsid w:val="00B65035"/>
    <w:rsid w:val="00B674F1"/>
    <w:rsid w:val="00B709E5"/>
    <w:rsid w:val="00B75EE0"/>
    <w:rsid w:val="00B7775A"/>
    <w:rsid w:val="00B80C5C"/>
    <w:rsid w:val="00B8646B"/>
    <w:rsid w:val="00B95227"/>
    <w:rsid w:val="00B96644"/>
    <w:rsid w:val="00B967DD"/>
    <w:rsid w:val="00BA5EA3"/>
    <w:rsid w:val="00BB1DDA"/>
    <w:rsid w:val="00BB72D4"/>
    <w:rsid w:val="00BD68CD"/>
    <w:rsid w:val="00BD7C7C"/>
    <w:rsid w:val="00BE4EAC"/>
    <w:rsid w:val="00BE7802"/>
    <w:rsid w:val="00BF29ED"/>
    <w:rsid w:val="00BF461B"/>
    <w:rsid w:val="00BF6CCB"/>
    <w:rsid w:val="00C059E4"/>
    <w:rsid w:val="00C15077"/>
    <w:rsid w:val="00C25982"/>
    <w:rsid w:val="00C308A2"/>
    <w:rsid w:val="00C30936"/>
    <w:rsid w:val="00C359C0"/>
    <w:rsid w:val="00C40A6E"/>
    <w:rsid w:val="00C63272"/>
    <w:rsid w:val="00C7635C"/>
    <w:rsid w:val="00C82E91"/>
    <w:rsid w:val="00C83D05"/>
    <w:rsid w:val="00C86C67"/>
    <w:rsid w:val="00CA6ED8"/>
    <w:rsid w:val="00CC42BD"/>
    <w:rsid w:val="00CC4A83"/>
    <w:rsid w:val="00CC512A"/>
    <w:rsid w:val="00CD0F38"/>
    <w:rsid w:val="00CD5817"/>
    <w:rsid w:val="00CF1DC0"/>
    <w:rsid w:val="00CF580B"/>
    <w:rsid w:val="00D1053B"/>
    <w:rsid w:val="00D25534"/>
    <w:rsid w:val="00D2625D"/>
    <w:rsid w:val="00D27456"/>
    <w:rsid w:val="00D27DA3"/>
    <w:rsid w:val="00D31AB2"/>
    <w:rsid w:val="00D32AF1"/>
    <w:rsid w:val="00D33854"/>
    <w:rsid w:val="00D4154B"/>
    <w:rsid w:val="00D47E3C"/>
    <w:rsid w:val="00D52577"/>
    <w:rsid w:val="00D546F0"/>
    <w:rsid w:val="00D57AFC"/>
    <w:rsid w:val="00D7372C"/>
    <w:rsid w:val="00D90BC8"/>
    <w:rsid w:val="00D958C0"/>
    <w:rsid w:val="00DA092D"/>
    <w:rsid w:val="00DB035A"/>
    <w:rsid w:val="00DB2135"/>
    <w:rsid w:val="00DC067E"/>
    <w:rsid w:val="00DC15F1"/>
    <w:rsid w:val="00DC1625"/>
    <w:rsid w:val="00DC22D2"/>
    <w:rsid w:val="00DC6874"/>
    <w:rsid w:val="00DC7395"/>
    <w:rsid w:val="00DD05C1"/>
    <w:rsid w:val="00DE59B7"/>
    <w:rsid w:val="00E028C2"/>
    <w:rsid w:val="00E03A84"/>
    <w:rsid w:val="00E215FC"/>
    <w:rsid w:val="00E21B2B"/>
    <w:rsid w:val="00E27A1D"/>
    <w:rsid w:val="00E27F6A"/>
    <w:rsid w:val="00E31570"/>
    <w:rsid w:val="00E35B31"/>
    <w:rsid w:val="00E52EB6"/>
    <w:rsid w:val="00E53C7A"/>
    <w:rsid w:val="00E553CA"/>
    <w:rsid w:val="00E57C6C"/>
    <w:rsid w:val="00E62B69"/>
    <w:rsid w:val="00E63BAC"/>
    <w:rsid w:val="00E71955"/>
    <w:rsid w:val="00E773A9"/>
    <w:rsid w:val="00E779AB"/>
    <w:rsid w:val="00E8137C"/>
    <w:rsid w:val="00E96A9E"/>
    <w:rsid w:val="00EA17B2"/>
    <w:rsid w:val="00EA2711"/>
    <w:rsid w:val="00EB3CCD"/>
    <w:rsid w:val="00EC395B"/>
    <w:rsid w:val="00EC4D51"/>
    <w:rsid w:val="00EC5BDB"/>
    <w:rsid w:val="00EC7291"/>
    <w:rsid w:val="00EC7DBC"/>
    <w:rsid w:val="00EC7FC8"/>
    <w:rsid w:val="00ED4B0B"/>
    <w:rsid w:val="00ED65BA"/>
    <w:rsid w:val="00ED74D3"/>
    <w:rsid w:val="00EE2BB0"/>
    <w:rsid w:val="00EE3E5C"/>
    <w:rsid w:val="00EE469D"/>
    <w:rsid w:val="00EE5357"/>
    <w:rsid w:val="00EE6E0B"/>
    <w:rsid w:val="00EE7E51"/>
    <w:rsid w:val="00F03ACA"/>
    <w:rsid w:val="00F05433"/>
    <w:rsid w:val="00F0698B"/>
    <w:rsid w:val="00F07095"/>
    <w:rsid w:val="00F07E2E"/>
    <w:rsid w:val="00F10213"/>
    <w:rsid w:val="00F206D2"/>
    <w:rsid w:val="00F21CBF"/>
    <w:rsid w:val="00F25429"/>
    <w:rsid w:val="00F35C60"/>
    <w:rsid w:val="00F430E2"/>
    <w:rsid w:val="00F4737D"/>
    <w:rsid w:val="00F47F5A"/>
    <w:rsid w:val="00F5189B"/>
    <w:rsid w:val="00F56C57"/>
    <w:rsid w:val="00F64242"/>
    <w:rsid w:val="00F74F46"/>
    <w:rsid w:val="00F77DEC"/>
    <w:rsid w:val="00FA092E"/>
    <w:rsid w:val="00FA18D2"/>
    <w:rsid w:val="00FA2191"/>
    <w:rsid w:val="00FA2273"/>
    <w:rsid w:val="00FA2D5C"/>
    <w:rsid w:val="00FB134D"/>
    <w:rsid w:val="00FB2017"/>
    <w:rsid w:val="00FB2705"/>
    <w:rsid w:val="00FB7E9E"/>
    <w:rsid w:val="00FC2920"/>
    <w:rsid w:val="00FC553B"/>
    <w:rsid w:val="00FC650C"/>
    <w:rsid w:val="00FD09D6"/>
    <w:rsid w:val="00FD5345"/>
    <w:rsid w:val="00FE05F5"/>
    <w:rsid w:val="00FE65FF"/>
    <w:rsid w:val="00FF1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65E172-D142-4286-8659-55612994C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C4B"/>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BF4"/>
    <w:pPr>
      <w:ind w:left="720"/>
      <w:contextualSpacing/>
    </w:pPr>
  </w:style>
  <w:style w:type="paragraph" w:styleId="Header">
    <w:name w:val="header"/>
    <w:basedOn w:val="Normal"/>
    <w:link w:val="HeaderChar"/>
    <w:uiPriority w:val="99"/>
    <w:unhideWhenUsed/>
    <w:rsid w:val="00A03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558"/>
    <w:rPr>
      <w:lang w:val="fr-FR"/>
    </w:rPr>
  </w:style>
  <w:style w:type="paragraph" w:styleId="Footer">
    <w:name w:val="footer"/>
    <w:basedOn w:val="Normal"/>
    <w:link w:val="FooterChar"/>
    <w:uiPriority w:val="99"/>
    <w:semiHidden/>
    <w:unhideWhenUsed/>
    <w:rsid w:val="00A0355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3558"/>
    <w:rPr>
      <w:lang w:val="fr-FR"/>
    </w:rPr>
  </w:style>
  <w:style w:type="paragraph" w:styleId="NoSpacing">
    <w:name w:val="No Spacing"/>
    <w:link w:val="NoSpacingChar"/>
    <w:uiPriority w:val="1"/>
    <w:qFormat/>
    <w:rsid w:val="00937D82"/>
    <w:pPr>
      <w:spacing w:after="0" w:line="240" w:lineRule="auto"/>
    </w:pPr>
    <w:rPr>
      <w:rFonts w:eastAsiaTheme="minorEastAsia"/>
    </w:rPr>
  </w:style>
  <w:style w:type="character" w:customStyle="1" w:styleId="NoSpacingChar">
    <w:name w:val="No Spacing Char"/>
    <w:basedOn w:val="DefaultParagraphFont"/>
    <w:link w:val="NoSpacing"/>
    <w:uiPriority w:val="1"/>
    <w:rsid w:val="00937D82"/>
    <w:rPr>
      <w:rFonts w:eastAsiaTheme="minorEastAsia"/>
    </w:rPr>
  </w:style>
  <w:style w:type="paragraph" w:styleId="BalloonText">
    <w:name w:val="Balloon Text"/>
    <w:basedOn w:val="Normal"/>
    <w:link w:val="BalloonTextChar"/>
    <w:uiPriority w:val="99"/>
    <w:semiHidden/>
    <w:unhideWhenUsed/>
    <w:rsid w:val="00937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D82"/>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BCBAA-65F7-4061-9244-3FE6C6A0A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4779</Words>
  <Characters>27245</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RAPPORT ANNUEL 2012-2013</vt:lpstr>
    </vt:vector>
  </TitlesOfParts>
  <Company>ASSOCIATION PROFESSIONNELLE DE BANQUES</Company>
  <LinksUpToDate>false</LinksUpToDate>
  <CharactersWithSpaces>31961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ANNUEL 2012-2013</dc:title>
  <dc:subject/>
  <dc:creator>Préparé par la Direction Exécutive de l’APB</dc:creator>
  <cp:keywords/>
  <dc:description/>
  <cp:lastModifiedBy>Angie</cp:lastModifiedBy>
  <cp:revision>2</cp:revision>
  <cp:lastPrinted>2013-09-25T17:51:00Z</cp:lastPrinted>
  <dcterms:created xsi:type="dcterms:W3CDTF">2013-11-11T20:26:00Z</dcterms:created>
  <dcterms:modified xsi:type="dcterms:W3CDTF">2013-11-11T20:26:00Z</dcterms:modified>
</cp:coreProperties>
</file>