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0C" w:rsidRDefault="00A54C0C" w:rsidP="00AF64B1">
      <w:pPr>
        <w:pStyle w:val="NoSpacing"/>
        <w:jc w:val="center"/>
        <w:rPr>
          <w:rFonts w:ascii="Arial" w:hAnsi="Arial" w:cs="Arial"/>
          <w:sz w:val="24"/>
          <w:szCs w:val="24"/>
          <w:lang w:val="fr-FR"/>
        </w:rPr>
      </w:pPr>
    </w:p>
    <w:p w:rsidR="00F4685E" w:rsidRPr="004E392B" w:rsidRDefault="00AF64B1" w:rsidP="00AF64B1">
      <w:pPr>
        <w:pStyle w:val="NoSpacing"/>
        <w:jc w:val="center"/>
        <w:rPr>
          <w:rFonts w:ascii="Arial" w:hAnsi="Arial" w:cs="Arial"/>
          <w:b/>
          <w:sz w:val="32"/>
          <w:szCs w:val="32"/>
          <w:lang w:val="fr-FR"/>
        </w:rPr>
      </w:pPr>
      <w:r w:rsidRPr="004E392B">
        <w:rPr>
          <w:rFonts w:ascii="Arial" w:hAnsi="Arial" w:cs="Arial"/>
          <w:b/>
          <w:sz w:val="32"/>
          <w:szCs w:val="32"/>
          <w:lang w:val="fr-FR"/>
        </w:rPr>
        <w:t>Rapport d’activités de l’APB</w:t>
      </w:r>
    </w:p>
    <w:p w:rsidR="00AF64B1" w:rsidRPr="004E392B" w:rsidRDefault="00AF64B1" w:rsidP="00AF64B1">
      <w:pPr>
        <w:pStyle w:val="NoSpacing"/>
        <w:jc w:val="center"/>
        <w:rPr>
          <w:rFonts w:ascii="Arial" w:hAnsi="Arial" w:cs="Arial"/>
          <w:b/>
          <w:sz w:val="32"/>
          <w:szCs w:val="32"/>
          <w:lang w:val="fr-FR"/>
        </w:rPr>
      </w:pPr>
      <w:r w:rsidRPr="004E392B">
        <w:rPr>
          <w:rFonts w:ascii="Arial" w:hAnsi="Arial" w:cs="Arial"/>
          <w:b/>
          <w:sz w:val="32"/>
          <w:szCs w:val="32"/>
          <w:lang w:val="fr-FR"/>
        </w:rPr>
        <w:t>Exercice 2011/2012</w:t>
      </w:r>
    </w:p>
    <w:p w:rsidR="00DF1B11" w:rsidRDefault="00DF1B11" w:rsidP="00AF64B1">
      <w:pPr>
        <w:pStyle w:val="NoSpacing"/>
        <w:jc w:val="center"/>
        <w:rPr>
          <w:rFonts w:ascii="Arial" w:hAnsi="Arial" w:cs="Arial"/>
          <w:sz w:val="24"/>
          <w:szCs w:val="24"/>
          <w:lang w:val="fr-FR"/>
        </w:rPr>
      </w:pPr>
    </w:p>
    <w:p w:rsidR="00DF1B11" w:rsidRDefault="00DF1B11" w:rsidP="0020019B">
      <w:pPr>
        <w:pStyle w:val="NoSpacing"/>
        <w:jc w:val="both"/>
        <w:rPr>
          <w:rFonts w:ascii="Arial" w:hAnsi="Arial" w:cs="Arial"/>
          <w:sz w:val="24"/>
          <w:szCs w:val="24"/>
          <w:lang w:val="fr-FR"/>
        </w:rPr>
      </w:pPr>
    </w:p>
    <w:p w:rsidR="0020019B" w:rsidRDefault="0020019B" w:rsidP="0020019B">
      <w:pPr>
        <w:pStyle w:val="NoSpacing"/>
        <w:jc w:val="both"/>
        <w:rPr>
          <w:rFonts w:ascii="Arial" w:hAnsi="Arial" w:cs="Arial"/>
          <w:sz w:val="24"/>
          <w:szCs w:val="24"/>
          <w:lang w:val="fr-FR"/>
        </w:rPr>
      </w:pPr>
      <w:r>
        <w:rPr>
          <w:rFonts w:ascii="Arial" w:hAnsi="Arial" w:cs="Arial"/>
          <w:sz w:val="24"/>
          <w:szCs w:val="24"/>
          <w:lang w:val="fr-FR"/>
        </w:rPr>
        <w:t xml:space="preserve">L’Association Professionnelle des banques </w:t>
      </w:r>
      <w:r w:rsidR="002E4D28">
        <w:rPr>
          <w:rFonts w:ascii="Arial" w:hAnsi="Arial" w:cs="Arial"/>
          <w:sz w:val="24"/>
          <w:szCs w:val="24"/>
          <w:lang w:val="fr-FR"/>
        </w:rPr>
        <w:t>v</w:t>
      </w:r>
      <w:r w:rsidR="00B533B1">
        <w:rPr>
          <w:rFonts w:ascii="Arial" w:hAnsi="Arial" w:cs="Arial"/>
          <w:sz w:val="24"/>
          <w:szCs w:val="24"/>
          <w:lang w:val="fr-FR"/>
        </w:rPr>
        <w:t>ous soumet pour approbation</w:t>
      </w:r>
      <w:r>
        <w:rPr>
          <w:rFonts w:ascii="Arial" w:hAnsi="Arial" w:cs="Arial"/>
          <w:sz w:val="24"/>
          <w:szCs w:val="24"/>
          <w:lang w:val="fr-FR"/>
        </w:rPr>
        <w:t xml:space="preserve"> son rapport d’activités couvrant l’exercice 2011/2012.</w:t>
      </w:r>
    </w:p>
    <w:p w:rsidR="0020019B" w:rsidRDefault="0020019B" w:rsidP="0020019B">
      <w:pPr>
        <w:pStyle w:val="NoSpacing"/>
        <w:jc w:val="both"/>
        <w:rPr>
          <w:rFonts w:ascii="Arial" w:hAnsi="Arial" w:cs="Arial"/>
          <w:sz w:val="24"/>
          <w:szCs w:val="24"/>
          <w:lang w:val="fr-FR"/>
        </w:rPr>
      </w:pPr>
    </w:p>
    <w:p w:rsidR="0020019B" w:rsidRDefault="0020019B" w:rsidP="0020019B">
      <w:pPr>
        <w:pStyle w:val="NoSpacing"/>
        <w:jc w:val="both"/>
        <w:rPr>
          <w:rFonts w:ascii="Arial" w:hAnsi="Arial" w:cs="Arial"/>
          <w:sz w:val="24"/>
          <w:szCs w:val="24"/>
          <w:lang w:val="fr-FR"/>
        </w:rPr>
      </w:pPr>
      <w:r>
        <w:rPr>
          <w:rFonts w:ascii="Arial" w:hAnsi="Arial" w:cs="Arial"/>
          <w:sz w:val="24"/>
          <w:szCs w:val="24"/>
          <w:lang w:val="fr-FR"/>
        </w:rPr>
        <w:t xml:space="preserve">Cette nouvelle édition englobe de nombreux sujets : l’évolution du Secteur bancaire, les nouvelles mesures de régulation, les travaux tendant à la modernisation du secteur, l’agenda législatif et les prochaines échéances qui </w:t>
      </w:r>
      <w:r w:rsidR="002E4D28">
        <w:rPr>
          <w:rFonts w:ascii="Arial" w:hAnsi="Arial" w:cs="Arial"/>
          <w:sz w:val="24"/>
          <w:szCs w:val="24"/>
          <w:lang w:val="fr-FR"/>
        </w:rPr>
        <w:t>attendent le secteur bancaire, d</w:t>
      </w:r>
      <w:r>
        <w:rPr>
          <w:rFonts w:ascii="Arial" w:hAnsi="Arial" w:cs="Arial"/>
          <w:sz w:val="24"/>
          <w:szCs w:val="24"/>
          <w:lang w:val="fr-FR"/>
        </w:rPr>
        <w:t>es activités propres à l’APB comme les travaux en comité de même que les cours de formation ont été passés en revue dans ce rapport.</w:t>
      </w:r>
    </w:p>
    <w:p w:rsidR="00AF64B1" w:rsidRDefault="00AF64B1" w:rsidP="00AF64B1">
      <w:pPr>
        <w:pStyle w:val="NoSpacing"/>
        <w:jc w:val="center"/>
        <w:rPr>
          <w:rFonts w:ascii="Arial" w:hAnsi="Arial" w:cs="Arial"/>
          <w:sz w:val="24"/>
          <w:szCs w:val="24"/>
          <w:lang w:val="fr-FR"/>
        </w:rPr>
      </w:pPr>
    </w:p>
    <w:p w:rsidR="00AF64B1" w:rsidRDefault="00AF64B1" w:rsidP="00AF64B1">
      <w:pPr>
        <w:pStyle w:val="NoSpacing"/>
        <w:jc w:val="both"/>
        <w:rPr>
          <w:rFonts w:ascii="Arial" w:hAnsi="Arial" w:cs="Arial"/>
          <w:sz w:val="24"/>
          <w:szCs w:val="24"/>
          <w:lang w:val="fr-FR"/>
        </w:rPr>
      </w:pPr>
    </w:p>
    <w:p w:rsidR="00AF64B1" w:rsidRPr="00C00DB2" w:rsidRDefault="00AF64B1" w:rsidP="00AF64B1">
      <w:pPr>
        <w:pStyle w:val="NoSpacing"/>
        <w:jc w:val="both"/>
        <w:rPr>
          <w:rFonts w:ascii="Arial" w:hAnsi="Arial" w:cs="Arial"/>
          <w:b/>
          <w:sz w:val="24"/>
          <w:szCs w:val="24"/>
          <w:u w:val="single"/>
          <w:lang w:val="fr-FR"/>
        </w:rPr>
      </w:pPr>
      <w:r w:rsidRPr="00C00DB2">
        <w:rPr>
          <w:rFonts w:ascii="Arial" w:hAnsi="Arial" w:cs="Arial"/>
          <w:b/>
          <w:sz w:val="24"/>
          <w:szCs w:val="24"/>
          <w:u w:val="single"/>
          <w:lang w:val="fr-FR"/>
        </w:rPr>
        <w:t>Evolution du secteur bancaire</w:t>
      </w:r>
    </w:p>
    <w:p w:rsidR="00AF64B1" w:rsidRDefault="00AF64B1" w:rsidP="00AF64B1">
      <w:pPr>
        <w:pStyle w:val="NoSpacing"/>
        <w:jc w:val="both"/>
        <w:rPr>
          <w:rFonts w:ascii="Arial" w:hAnsi="Arial" w:cs="Arial"/>
          <w:sz w:val="24"/>
          <w:szCs w:val="24"/>
          <w:lang w:val="fr-FR"/>
        </w:rPr>
      </w:pPr>
    </w:p>
    <w:p w:rsidR="00AF64B1" w:rsidRDefault="00AF64B1" w:rsidP="00AF64B1">
      <w:pPr>
        <w:pStyle w:val="NoSpacing"/>
        <w:jc w:val="both"/>
        <w:rPr>
          <w:rFonts w:ascii="Arial" w:hAnsi="Arial" w:cs="Arial"/>
          <w:sz w:val="24"/>
          <w:szCs w:val="24"/>
          <w:lang w:val="fr-FR"/>
        </w:rPr>
      </w:pPr>
      <w:r>
        <w:rPr>
          <w:rFonts w:ascii="Arial" w:hAnsi="Arial" w:cs="Arial"/>
          <w:sz w:val="24"/>
          <w:szCs w:val="24"/>
          <w:lang w:val="fr-FR"/>
        </w:rPr>
        <w:t>Le secteur bancaire a terminé l’exercice 2011/2012 avec des résultats satisfaisants.  Les dépôts bancaires croissent régulièrement de même que le crédit.  Les actifs du système ont augmenté de 11.6 milliards de gourdes durant les neuf premiers mois de l’exercice passant de 153.9 milliards de gourdes en septembre 2011 à 165.5 milliards de gourdes en juin 2012.  Les prêts représentent 47 milliards de gourdes en juin 2012 contre 3</w:t>
      </w:r>
      <w:r w:rsidR="006133C0">
        <w:rPr>
          <w:rFonts w:ascii="Arial" w:hAnsi="Arial" w:cs="Arial"/>
          <w:sz w:val="24"/>
          <w:szCs w:val="24"/>
          <w:lang w:val="fr-FR"/>
        </w:rPr>
        <w:t>8</w:t>
      </w:r>
      <w:r>
        <w:rPr>
          <w:rFonts w:ascii="Arial" w:hAnsi="Arial" w:cs="Arial"/>
          <w:sz w:val="24"/>
          <w:szCs w:val="24"/>
          <w:lang w:val="fr-FR"/>
        </w:rPr>
        <w:t>.6 milliards de gourdes en septembre 2011 et 29.4 milliards de gourdes en septembre 2010.</w:t>
      </w:r>
    </w:p>
    <w:p w:rsidR="00AF64B1" w:rsidRDefault="00AF64B1" w:rsidP="00AF64B1">
      <w:pPr>
        <w:pStyle w:val="NoSpacing"/>
        <w:jc w:val="both"/>
        <w:rPr>
          <w:rFonts w:ascii="Arial" w:hAnsi="Arial" w:cs="Arial"/>
          <w:sz w:val="24"/>
          <w:szCs w:val="24"/>
          <w:lang w:val="fr-FR"/>
        </w:rPr>
      </w:pPr>
    </w:p>
    <w:p w:rsidR="00AF64B1" w:rsidRDefault="00AF64B1" w:rsidP="00AF64B1">
      <w:pPr>
        <w:pStyle w:val="NoSpacing"/>
        <w:jc w:val="both"/>
        <w:rPr>
          <w:rFonts w:ascii="Arial" w:hAnsi="Arial" w:cs="Arial"/>
          <w:sz w:val="24"/>
          <w:szCs w:val="24"/>
          <w:lang w:val="fr-FR"/>
        </w:rPr>
      </w:pPr>
      <w:r>
        <w:rPr>
          <w:rFonts w:ascii="Arial" w:hAnsi="Arial" w:cs="Arial"/>
          <w:sz w:val="24"/>
          <w:szCs w:val="24"/>
          <w:lang w:val="fr-FR"/>
        </w:rPr>
        <w:t>Les dépôts bancaires ont alimenté la croissance du secteur bancaire avec des montants totalisant 145.8 milliards de gourdes en juin 2012 tandis que les dépôts s’élevaient à 135 milliards de gourdes en septembre 2011 et 119 milliards de gourdes en septembre 2010,  La progression a été de 22% au cours des trois derniers exercices.</w:t>
      </w:r>
    </w:p>
    <w:p w:rsidR="00AF64B1" w:rsidRDefault="00AF64B1" w:rsidP="00AF64B1">
      <w:pPr>
        <w:pStyle w:val="NoSpacing"/>
        <w:jc w:val="both"/>
        <w:rPr>
          <w:rFonts w:ascii="Arial" w:hAnsi="Arial" w:cs="Arial"/>
          <w:sz w:val="24"/>
          <w:szCs w:val="24"/>
          <w:lang w:val="fr-FR"/>
        </w:rPr>
      </w:pPr>
    </w:p>
    <w:p w:rsidR="00AF64B1" w:rsidRDefault="00AF64B1" w:rsidP="00AF64B1">
      <w:pPr>
        <w:pStyle w:val="NoSpacing"/>
        <w:jc w:val="both"/>
        <w:rPr>
          <w:rFonts w:ascii="Arial" w:hAnsi="Arial" w:cs="Arial"/>
          <w:sz w:val="24"/>
          <w:szCs w:val="24"/>
          <w:lang w:val="fr-FR"/>
        </w:rPr>
      </w:pPr>
      <w:r>
        <w:rPr>
          <w:rFonts w:ascii="Arial" w:hAnsi="Arial" w:cs="Arial"/>
          <w:sz w:val="24"/>
          <w:szCs w:val="24"/>
          <w:lang w:val="fr-FR"/>
        </w:rPr>
        <w:t>La rentabilité du système a été maintenue avec un retour sur investissement de 25%.  Le bénéfice net du système est de 1.6 milliards de gourdes</w:t>
      </w:r>
      <w:r w:rsidR="008C469B">
        <w:rPr>
          <w:rFonts w:ascii="Arial" w:hAnsi="Arial" w:cs="Arial"/>
          <w:sz w:val="24"/>
          <w:szCs w:val="24"/>
          <w:lang w:val="fr-FR"/>
        </w:rPr>
        <w:t xml:space="preserve"> en juin 2012 contre 1.3 milliards de gourdes pour la même période de l’exercice 2010/2011.  Ces données montrent que le système fonctionne bien malgré des difficultés enregistrées en début d’exercice, difficultés provoquées par une rareté de numéraire en dollars et le système a frôlé la crise lorsque les banques ont limité les tirages et les paiements en dollars.</w:t>
      </w:r>
    </w:p>
    <w:p w:rsidR="007702E3" w:rsidRDefault="007702E3" w:rsidP="00AF64B1">
      <w:pPr>
        <w:pStyle w:val="NoSpacing"/>
        <w:jc w:val="both"/>
        <w:rPr>
          <w:rFonts w:ascii="Arial" w:hAnsi="Arial" w:cs="Arial"/>
          <w:sz w:val="24"/>
          <w:szCs w:val="24"/>
          <w:lang w:val="fr-FR"/>
        </w:rPr>
      </w:pPr>
    </w:p>
    <w:p w:rsidR="007702E3" w:rsidRDefault="007702E3" w:rsidP="00AF64B1">
      <w:pPr>
        <w:pStyle w:val="NoSpacing"/>
        <w:jc w:val="both"/>
        <w:rPr>
          <w:rFonts w:ascii="Arial" w:hAnsi="Arial" w:cs="Arial"/>
          <w:sz w:val="24"/>
          <w:szCs w:val="24"/>
          <w:lang w:val="fr-FR"/>
        </w:rPr>
      </w:pPr>
      <w:r>
        <w:rPr>
          <w:rFonts w:ascii="Arial" w:hAnsi="Arial" w:cs="Arial"/>
          <w:sz w:val="24"/>
          <w:szCs w:val="24"/>
          <w:lang w:val="fr-FR"/>
        </w:rPr>
        <w:t>Les réponses des autorités monétaires afin de juguler les problèmes de liquidité en dollars ont consisté en</w:t>
      </w:r>
    </w:p>
    <w:p w:rsidR="007702E3" w:rsidRDefault="007702E3" w:rsidP="00AF64B1">
      <w:pPr>
        <w:pStyle w:val="NoSpacing"/>
        <w:jc w:val="both"/>
        <w:rPr>
          <w:rFonts w:ascii="Arial" w:hAnsi="Arial" w:cs="Arial"/>
          <w:sz w:val="24"/>
          <w:szCs w:val="24"/>
          <w:lang w:val="fr-FR"/>
        </w:rPr>
      </w:pPr>
    </w:p>
    <w:p w:rsidR="007702E3" w:rsidRDefault="00F71C9A" w:rsidP="007702E3">
      <w:pPr>
        <w:pStyle w:val="NoSpacing"/>
        <w:numPr>
          <w:ilvl w:val="0"/>
          <w:numId w:val="3"/>
        </w:numPr>
        <w:jc w:val="both"/>
        <w:rPr>
          <w:rFonts w:ascii="Arial" w:hAnsi="Arial" w:cs="Arial"/>
          <w:sz w:val="24"/>
          <w:szCs w:val="24"/>
          <w:lang w:val="fr-FR"/>
        </w:rPr>
      </w:pPr>
      <w:r>
        <w:rPr>
          <w:rFonts w:ascii="Arial" w:hAnsi="Arial" w:cs="Arial"/>
          <w:sz w:val="24"/>
          <w:szCs w:val="24"/>
          <w:lang w:val="fr-FR"/>
        </w:rPr>
        <w:t>l</w:t>
      </w:r>
      <w:r w:rsidR="007702E3">
        <w:rPr>
          <w:rFonts w:ascii="Arial" w:hAnsi="Arial" w:cs="Arial"/>
          <w:sz w:val="24"/>
          <w:szCs w:val="24"/>
          <w:lang w:val="fr-FR"/>
        </w:rPr>
        <w:t>’autorisation donnée à certaines institutions, notamment la Mission des Nations Unies (MINUSTAH) et l’Ambassade Américaine d’importer des dollars</w:t>
      </w:r>
    </w:p>
    <w:p w:rsidR="007702E3" w:rsidRPr="007702E3" w:rsidRDefault="00F71C9A" w:rsidP="007702E3">
      <w:pPr>
        <w:pStyle w:val="NoSpacing"/>
        <w:numPr>
          <w:ilvl w:val="0"/>
          <w:numId w:val="3"/>
        </w:numPr>
        <w:jc w:val="both"/>
        <w:rPr>
          <w:rFonts w:ascii="MS Mincho" w:eastAsia="MS Mincho" w:hAnsi="MS Mincho" w:cs="MS Mincho"/>
          <w:lang w:val="fr-FR"/>
        </w:rPr>
      </w:pPr>
      <w:r>
        <w:rPr>
          <w:rFonts w:ascii="Arial" w:hAnsi="Arial" w:cs="Arial"/>
          <w:sz w:val="24"/>
          <w:szCs w:val="24"/>
          <w:lang w:val="fr-FR"/>
        </w:rPr>
        <w:t>l</w:t>
      </w:r>
      <w:r w:rsidR="007702E3">
        <w:rPr>
          <w:rFonts w:ascii="Arial" w:hAnsi="Arial" w:cs="Arial"/>
          <w:sz w:val="24"/>
          <w:szCs w:val="24"/>
          <w:lang w:val="fr-FR"/>
        </w:rPr>
        <w:t>e choix donné aux maisons de transferts d’effectuer les paiements en gourdes ou en dollars suivant les disponibilités existantes</w:t>
      </w:r>
    </w:p>
    <w:p w:rsidR="007702E3" w:rsidRPr="007702E3" w:rsidRDefault="007702E3" w:rsidP="007702E3">
      <w:pPr>
        <w:pStyle w:val="NoSpacing"/>
        <w:ind w:left="720"/>
        <w:jc w:val="both"/>
        <w:rPr>
          <w:rFonts w:ascii="MS Mincho" w:eastAsia="MS Mincho" w:hAnsi="MS Mincho" w:cs="MS Mincho"/>
          <w:lang w:val="fr-FR"/>
        </w:rPr>
      </w:pPr>
    </w:p>
    <w:p w:rsidR="005F0330" w:rsidRDefault="00442FC7" w:rsidP="00442FC7">
      <w:pPr>
        <w:pStyle w:val="NoSpacing"/>
        <w:jc w:val="center"/>
        <w:rPr>
          <w:rFonts w:ascii="Arial" w:hAnsi="Arial" w:cs="Arial"/>
          <w:sz w:val="24"/>
          <w:szCs w:val="24"/>
          <w:lang w:val="fr-FR"/>
        </w:rPr>
      </w:pPr>
      <w:r>
        <w:rPr>
          <w:rFonts w:ascii="Arial" w:hAnsi="Arial" w:cs="Arial"/>
          <w:sz w:val="24"/>
          <w:szCs w:val="24"/>
          <w:lang w:val="fr-FR"/>
        </w:rPr>
        <w:lastRenderedPageBreak/>
        <w:t>-2-</w:t>
      </w:r>
    </w:p>
    <w:p w:rsidR="00EF4D0B" w:rsidRDefault="00EF4D0B" w:rsidP="007702E3">
      <w:pPr>
        <w:pStyle w:val="NoSpacing"/>
        <w:jc w:val="both"/>
        <w:rPr>
          <w:rFonts w:ascii="Arial" w:hAnsi="Arial" w:cs="Arial"/>
          <w:sz w:val="24"/>
          <w:szCs w:val="24"/>
          <w:lang w:val="fr-FR"/>
        </w:rPr>
      </w:pPr>
    </w:p>
    <w:p w:rsidR="007702E3" w:rsidRDefault="007702E3" w:rsidP="007702E3">
      <w:pPr>
        <w:pStyle w:val="NoSpacing"/>
        <w:jc w:val="both"/>
        <w:rPr>
          <w:rFonts w:ascii="Arial" w:hAnsi="Arial" w:cs="Arial"/>
          <w:sz w:val="24"/>
          <w:szCs w:val="24"/>
          <w:lang w:val="fr-FR"/>
        </w:rPr>
      </w:pPr>
      <w:r>
        <w:rPr>
          <w:rFonts w:ascii="Arial" w:hAnsi="Arial" w:cs="Arial"/>
          <w:sz w:val="24"/>
          <w:szCs w:val="24"/>
          <w:lang w:val="fr-FR"/>
        </w:rPr>
        <w:t>L’APB a joué également sa partition en respectant le communiqué publié par le Comité National de Lutte contre le blanchiment des avoirs en rappelant les dispositions de la loi de février 2011 interdisant tout paiement en espèces ou par  titres au porteur d’une somme supérieure à 400.000 gourdes  ou son équivalent en monnaie étrangère.</w:t>
      </w:r>
    </w:p>
    <w:p w:rsidR="007702E3" w:rsidRDefault="007702E3" w:rsidP="007702E3">
      <w:pPr>
        <w:pStyle w:val="NoSpacing"/>
        <w:jc w:val="both"/>
        <w:rPr>
          <w:rFonts w:ascii="Arial" w:hAnsi="Arial" w:cs="Arial"/>
          <w:sz w:val="24"/>
          <w:szCs w:val="24"/>
          <w:lang w:val="fr-FR"/>
        </w:rPr>
      </w:pPr>
    </w:p>
    <w:p w:rsidR="007702E3" w:rsidRDefault="007702E3" w:rsidP="007702E3">
      <w:pPr>
        <w:pStyle w:val="NoSpacing"/>
        <w:jc w:val="both"/>
        <w:rPr>
          <w:rFonts w:ascii="Arial" w:hAnsi="Arial" w:cs="Arial"/>
          <w:sz w:val="24"/>
          <w:szCs w:val="24"/>
          <w:lang w:val="fr-FR"/>
        </w:rPr>
      </w:pPr>
      <w:r>
        <w:rPr>
          <w:rFonts w:ascii="Arial" w:hAnsi="Arial" w:cs="Arial"/>
          <w:sz w:val="24"/>
          <w:szCs w:val="24"/>
          <w:lang w:val="fr-FR"/>
        </w:rPr>
        <w:t>Une campagne d’information a été menée tant par les représentants</w:t>
      </w:r>
      <w:r w:rsidR="00A54C0C">
        <w:rPr>
          <w:rFonts w:ascii="Arial" w:hAnsi="Arial" w:cs="Arial"/>
          <w:sz w:val="24"/>
          <w:szCs w:val="24"/>
          <w:lang w:val="fr-FR"/>
        </w:rPr>
        <w:t xml:space="preserve"> de l’APB que par les autorités monétaires dans le but de sensibiliser le public sur les modes alternatifs de paiement au lieu de recourir ou de privilégier le cash.  Le bon comportement du système bancaire n’exclut pas de rechercher les contraintes, les faiblesses.  L’accès au crédit a été identifié comme l’un des points faibles des institutions bancaires au point de provoquer des déclarations de la Présidence sur une orientation du crédit qui ne cadre pas avec son programme de gouvernement.</w:t>
      </w:r>
    </w:p>
    <w:p w:rsidR="00A54C0C" w:rsidRDefault="00A54C0C" w:rsidP="007702E3">
      <w:pPr>
        <w:pStyle w:val="NoSpacing"/>
        <w:jc w:val="both"/>
        <w:rPr>
          <w:rFonts w:ascii="Arial" w:hAnsi="Arial" w:cs="Arial"/>
          <w:sz w:val="24"/>
          <w:szCs w:val="24"/>
          <w:lang w:val="fr-FR"/>
        </w:rPr>
      </w:pPr>
    </w:p>
    <w:p w:rsidR="00A54C0C" w:rsidRDefault="00A54C0C" w:rsidP="007702E3">
      <w:pPr>
        <w:pStyle w:val="NoSpacing"/>
        <w:jc w:val="both"/>
        <w:rPr>
          <w:rFonts w:ascii="Arial" w:hAnsi="Arial" w:cs="Arial"/>
          <w:sz w:val="24"/>
          <w:szCs w:val="24"/>
          <w:lang w:val="fr-FR"/>
        </w:rPr>
      </w:pPr>
      <w:r>
        <w:rPr>
          <w:rFonts w:ascii="Arial" w:hAnsi="Arial" w:cs="Arial"/>
          <w:sz w:val="24"/>
          <w:szCs w:val="24"/>
          <w:lang w:val="fr-FR"/>
        </w:rPr>
        <w:t>Ces déclarations ont attiré l’attention de la profession</w:t>
      </w:r>
      <w:r w:rsidR="0072078E">
        <w:rPr>
          <w:rFonts w:ascii="Arial" w:hAnsi="Arial" w:cs="Arial"/>
          <w:sz w:val="24"/>
          <w:szCs w:val="24"/>
          <w:lang w:val="fr-FR"/>
        </w:rPr>
        <w:t>, c</w:t>
      </w:r>
      <w:r>
        <w:rPr>
          <w:rFonts w:ascii="Arial" w:hAnsi="Arial" w:cs="Arial"/>
          <w:sz w:val="24"/>
          <w:szCs w:val="24"/>
          <w:lang w:val="fr-FR"/>
        </w:rPr>
        <w:t xml:space="preserve">e </w:t>
      </w:r>
      <w:r w:rsidR="0072078E">
        <w:rPr>
          <w:rFonts w:ascii="Arial" w:hAnsi="Arial" w:cs="Arial"/>
          <w:sz w:val="24"/>
          <w:szCs w:val="24"/>
          <w:lang w:val="fr-FR"/>
        </w:rPr>
        <w:t xml:space="preserve">qui a </w:t>
      </w:r>
      <w:r>
        <w:rPr>
          <w:rFonts w:ascii="Arial" w:hAnsi="Arial" w:cs="Arial"/>
          <w:sz w:val="24"/>
          <w:szCs w:val="24"/>
          <w:lang w:val="fr-FR"/>
        </w:rPr>
        <w:t>port</w:t>
      </w:r>
      <w:r w:rsidR="0072078E">
        <w:rPr>
          <w:rFonts w:ascii="Arial" w:hAnsi="Arial" w:cs="Arial"/>
          <w:sz w:val="24"/>
          <w:szCs w:val="24"/>
          <w:lang w:val="fr-FR"/>
        </w:rPr>
        <w:t>é</w:t>
      </w:r>
      <w:r>
        <w:rPr>
          <w:rFonts w:ascii="Arial" w:hAnsi="Arial" w:cs="Arial"/>
          <w:sz w:val="24"/>
          <w:szCs w:val="24"/>
          <w:lang w:val="fr-FR"/>
        </w:rPr>
        <w:t xml:space="preserve"> les dirigeants des banques à rencontrer le Conseil d’Administration de la BRH</w:t>
      </w:r>
      <w:r w:rsidR="000A2D8C">
        <w:rPr>
          <w:rFonts w:ascii="Arial" w:hAnsi="Arial" w:cs="Arial"/>
          <w:sz w:val="24"/>
          <w:szCs w:val="24"/>
          <w:lang w:val="fr-FR"/>
        </w:rPr>
        <w:t xml:space="preserve"> et de former un comité de crédit pour anticiper les problèmes et calmer les appréhensions.</w:t>
      </w:r>
    </w:p>
    <w:p w:rsidR="000A2D8C" w:rsidRDefault="000A2D8C" w:rsidP="007702E3">
      <w:pPr>
        <w:pStyle w:val="NoSpacing"/>
        <w:jc w:val="both"/>
        <w:rPr>
          <w:rFonts w:ascii="Arial" w:hAnsi="Arial" w:cs="Arial"/>
          <w:sz w:val="24"/>
          <w:szCs w:val="24"/>
          <w:lang w:val="fr-FR"/>
        </w:rPr>
      </w:pPr>
    </w:p>
    <w:p w:rsidR="000A2D8C" w:rsidRPr="00C00DB2" w:rsidRDefault="000A2D8C" w:rsidP="007702E3">
      <w:pPr>
        <w:pStyle w:val="NoSpacing"/>
        <w:jc w:val="both"/>
        <w:rPr>
          <w:rFonts w:ascii="Arial" w:hAnsi="Arial" w:cs="Arial"/>
          <w:b/>
          <w:sz w:val="24"/>
          <w:szCs w:val="24"/>
          <w:u w:val="single"/>
          <w:lang w:val="fr-FR"/>
        </w:rPr>
      </w:pPr>
      <w:r w:rsidRPr="00C00DB2">
        <w:rPr>
          <w:rFonts w:ascii="Arial" w:hAnsi="Arial" w:cs="Arial"/>
          <w:b/>
          <w:sz w:val="24"/>
          <w:szCs w:val="24"/>
          <w:u w:val="single"/>
          <w:lang w:val="fr-FR"/>
        </w:rPr>
        <w:t>La Régulation du Secteur</w:t>
      </w:r>
    </w:p>
    <w:p w:rsidR="000A2D8C" w:rsidRDefault="000A2D8C" w:rsidP="007702E3">
      <w:pPr>
        <w:pStyle w:val="NoSpacing"/>
        <w:jc w:val="both"/>
        <w:rPr>
          <w:rFonts w:ascii="Arial" w:hAnsi="Arial" w:cs="Arial"/>
          <w:sz w:val="24"/>
          <w:szCs w:val="24"/>
          <w:lang w:val="fr-FR"/>
        </w:rPr>
      </w:pPr>
    </w:p>
    <w:p w:rsidR="000A2D8C" w:rsidRDefault="0072078E" w:rsidP="007702E3">
      <w:pPr>
        <w:pStyle w:val="NoSpacing"/>
        <w:jc w:val="both"/>
        <w:rPr>
          <w:rFonts w:ascii="Arial" w:hAnsi="Arial" w:cs="Arial"/>
          <w:sz w:val="24"/>
          <w:szCs w:val="24"/>
          <w:lang w:val="fr-FR"/>
        </w:rPr>
      </w:pPr>
      <w:r>
        <w:rPr>
          <w:rFonts w:ascii="Arial" w:hAnsi="Arial" w:cs="Arial"/>
          <w:sz w:val="24"/>
          <w:szCs w:val="24"/>
          <w:lang w:val="fr-FR"/>
        </w:rPr>
        <w:t xml:space="preserve">Au </w:t>
      </w:r>
      <w:r w:rsidR="000A2D8C">
        <w:rPr>
          <w:rFonts w:ascii="Arial" w:hAnsi="Arial" w:cs="Arial"/>
          <w:sz w:val="24"/>
          <w:szCs w:val="24"/>
          <w:lang w:val="fr-FR"/>
        </w:rPr>
        <w:t xml:space="preserve"> début de l’exercice 2011/2012, la Banque Centrale a émis un</w:t>
      </w:r>
      <w:r w:rsidR="00F12722">
        <w:rPr>
          <w:rFonts w:ascii="Arial" w:hAnsi="Arial" w:cs="Arial"/>
          <w:sz w:val="24"/>
          <w:szCs w:val="24"/>
          <w:lang w:val="fr-FR"/>
        </w:rPr>
        <w:t>e</w:t>
      </w:r>
      <w:r w:rsidR="000A2D8C">
        <w:rPr>
          <w:rFonts w:ascii="Arial" w:hAnsi="Arial" w:cs="Arial"/>
          <w:sz w:val="24"/>
          <w:szCs w:val="24"/>
          <w:lang w:val="fr-FR"/>
        </w:rPr>
        <w:t xml:space="preserve"> circulaire modulant</w:t>
      </w:r>
      <w:r>
        <w:rPr>
          <w:rFonts w:ascii="Arial" w:hAnsi="Arial" w:cs="Arial"/>
          <w:sz w:val="24"/>
          <w:szCs w:val="24"/>
          <w:lang w:val="fr-FR"/>
        </w:rPr>
        <w:t xml:space="preserve"> à partir d’</w:t>
      </w:r>
      <w:r w:rsidR="000A2D8C">
        <w:rPr>
          <w:rFonts w:ascii="Arial" w:hAnsi="Arial" w:cs="Arial"/>
          <w:sz w:val="24"/>
          <w:szCs w:val="24"/>
          <w:lang w:val="fr-FR"/>
        </w:rPr>
        <w:t xml:space="preserve">un échéancier allant de janvier à mai 2012 l’élimination progressive de la composante gourde des réserves obligatoires constituées en devises.   </w:t>
      </w:r>
      <w:r w:rsidR="00E03BC6">
        <w:rPr>
          <w:rFonts w:ascii="Arial" w:hAnsi="Arial" w:cs="Arial"/>
          <w:sz w:val="24"/>
          <w:szCs w:val="24"/>
          <w:lang w:val="fr-FR"/>
        </w:rPr>
        <w:t>Dès le</w:t>
      </w:r>
      <w:r w:rsidR="000A2D8C">
        <w:rPr>
          <w:rFonts w:ascii="Arial" w:hAnsi="Arial" w:cs="Arial"/>
          <w:sz w:val="24"/>
          <w:szCs w:val="24"/>
          <w:lang w:val="fr-FR"/>
        </w:rPr>
        <w:t xml:space="preserve"> 1</w:t>
      </w:r>
      <w:r w:rsidR="005714EC">
        <w:rPr>
          <w:rFonts w:ascii="Arial" w:hAnsi="Arial" w:cs="Arial"/>
          <w:sz w:val="24"/>
          <w:szCs w:val="24"/>
          <w:lang w:val="fr-FR"/>
        </w:rPr>
        <w:t xml:space="preserve">6 </w:t>
      </w:r>
      <w:r w:rsidR="000A2D8C">
        <w:rPr>
          <w:rFonts w:ascii="Arial" w:hAnsi="Arial" w:cs="Arial"/>
          <w:sz w:val="24"/>
          <w:szCs w:val="24"/>
          <w:lang w:val="fr-FR"/>
        </w:rPr>
        <w:t>mai 2012, le mode de constitution des réserves obligatoires sur le passif-dépôt se fait monnaie sur monnaie.</w:t>
      </w:r>
    </w:p>
    <w:p w:rsidR="000A2D8C" w:rsidRDefault="000A2D8C" w:rsidP="007702E3">
      <w:pPr>
        <w:pStyle w:val="NoSpacing"/>
        <w:jc w:val="both"/>
        <w:rPr>
          <w:rFonts w:ascii="Arial" w:hAnsi="Arial" w:cs="Arial"/>
          <w:sz w:val="24"/>
          <w:szCs w:val="24"/>
          <w:lang w:val="fr-FR"/>
        </w:rPr>
      </w:pPr>
    </w:p>
    <w:p w:rsidR="000A2D8C" w:rsidRDefault="000A2D8C" w:rsidP="007702E3">
      <w:pPr>
        <w:pStyle w:val="NoSpacing"/>
        <w:jc w:val="both"/>
        <w:rPr>
          <w:rFonts w:ascii="Arial" w:hAnsi="Arial" w:cs="Arial"/>
          <w:sz w:val="24"/>
          <w:szCs w:val="24"/>
          <w:lang w:val="fr-FR"/>
        </w:rPr>
      </w:pPr>
      <w:r>
        <w:rPr>
          <w:rFonts w:ascii="Arial" w:hAnsi="Arial" w:cs="Arial"/>
          <w:sz w:val="24"/>
          <w:szCs w:val="24"/>
          <w:lang w:val="fr-FR"/>
        </w:rPr>
        <w:t>Cette mesure de la BRH, qui rejoint la position défendue par l’APB en vue d’éviter les distorsions dans la composition des dépôts et des taux d’intérêts,  ne s’est pas opérée sans perturbations.  D’importantes liquidités en gourdes ont été libérées créant un désalignement du taux de change.  Le taux de change de la gourde par rapport au dollar augmente régulièrement passant de 40.9 en décembre 2011 à 41.3 en janvier 2012, puis à 41.5 en février pour atteindre 41.7 et 41.9 respectivement en avril et mai 2012.  En juin le taux de change était de 42</w:t>
      </w:r>
      <w:r w:rsidR="00327C23">
        <w:rPr>
          <w:rFonts w:ascii="Arial" w:hAnsi="Arial" w:cs="Arial"/>
          <w:sz w:val="24"/>
          <w:szCs w:val="24"/>
          <w:lang w:val="fr-FR"/>
        </w:rPr>
        <w:t>.</w:t>
      </w:r>
      <w:r>
        <w:rPr>
          <w:rFonts w:ascii="Arial" w:hAnsi="Arial" w:cs="Arial"/>
          <w:sz w:val="24"/>
          <w:szCs w:val="24"/>
          <w:lang w:val="fr-FR"/>
        </w:rPr>
        <w:t>4</w:t>
      </w:r>
      <w:r w:rsidR="00327C23">
        <w:rPr>
          <w:rFonts w:ascii="Arial" w:hAnsi="Arial" w:cs="Arial"/>
          <w:sz w:val="24"/>
          <w:szCs w:val="24"/>
          <w:lang w:val="fr-FR"/>
        </w:rPr>
        <w:t>0</w:t>
      </w:r>
      <w:r>
        <w:rPr>
          <w:rFonts w:ascii="Arial" w:hAnsi="Arial" w:cs="Arial"/>
          <w:sz w:val="24"/>
          <w:szCs w:val="24"/>
          <w:lang w:val="fr-FR"/>
        </w:rPr>
        <w:t xml:space="preserve"> gourdes pour un dollar et à la veille de la clôture de l’exercice de l’exercice 2011/2012</w:t>
      </w:r>
      <w:r w:rsidR="00E02DA9">
        <w:rPr>
          <w:rFonts w:ascii="Arial" w:hAnsi="Arial" w:cs="Arial"/>
          <w:sz w:val="24"/>
          <w:szCs w:val="24"/>
          <w:lang w:val="fr-FR"/>
        </w:rPr>
        <w:t xml:space="preserve"> le taux de change est de 42.60 gourdes.</w:t>
      </w:r>
    </w:p>
    <w:p w:rsidR="00E02DA9" w:rsidRDefault="00E02DA9" w:rsidP="007702E3">
      <w:pPr>
        <w:pStyle w:val="NoSpacing"/>
        <w:jc w:val="both"/>
        <w:rPr>
          <w:rFonts w:ascii="Arial" w:hAnsi="Arial" w:cs="Arial"/>
          <w:sz w:val="24"/>
          <w:szCs w:val="24"/>
          <w:lang w:val="fr-FR"/>
        </w:rPr>
      </w:pPr>
    </w:p>
    <w:p w:rsidR="00E02DA9" w:rsidRDefault="00E02DA9" w:rsidP="007702E3">
      <w:pPr>
        <w:pStyle w:val="NoSpacing"/>
        <w:jc w:val="both"/>
        <w:rPr>
          <w:rFonts w:ascii="Arial" w:hAnsi="Arial" w:cs="Arial"/>
          <w:sz w:val="24"/>
          <w:szCs w:val="24"/>
          <w:lang w:val="fr-FR"/>
        </w:rPr>
      </w:pPr>
      <w:r>
        <w:rPr>
          <w:rFonts w:ascii="Arial" w:hAnsi="Arial" w:cs="Arial"/>
          <w:sz w:val="24"/>
          <w:szCs w:val="24"/>
          <w:lang w:val="fr-FR"/>
        </w:rPr>
        <w:t>L’Association Professionnelle des Banques s’est penchée sur la question de stabilité du taux de change.  Les membres de l’Association ont rencontré le Conseil de la BRH pour adresser le problème de change.  Les propositions suivantes ont été formulées :</w:t>
      </w:r>
    </w:p>
    <w:p w:rsidR="00E02DA9" w:rsidRDefault="00E02DA9" w:rsidP="007702E3">
      <w:pPr>
        <w:pStyle w:val="NoSpacing"/>
        <w:jc w:val="both"/>
        <w:rPr>
          <w:rFonts w:ascii="Arial" w:hAnsi="Arial" w:cs="Arial"/>
          <w:sz w:val="24"/>
          <w:szCs w:val="24"/>
          <w:lang w:val="fr-FR"/>
        </w:rPr>
      </w:pPr>
    </w:p>
    <w:p w:rsidR="00E02DA9" w:rsidRPr="00E02DA9" w:rsidRDefault="00E02DA9" w:rsidP="00E02DA9">
      <w:pPr>
        <w:pStyle w:val="NoSpacing"/>
        <w:numPr>
          <w:ilvl w:val="0"/>
          <w:numId w:val="6"/>
        </w:numPr>
        <w:jc w:val="both"/>
        <w:rPr>
          <w:rFonts w:ascii="MS Mincho" w:eastAsia="MS Mincho" w:hAnsi="MS Mincho" w:cs="MS Mincho"/>
          <w:lang w:val="fr-FR"/>
        </w:rPr>
      </w:pPr>
      <w:r>
        <w:rPr>
          <w:rFonts w:ascii="Arial" w:hAnsi="Arial" w:cs="Arial"/>
          <w:sz w:val="24"/>
          <w:szCs w:val="24"/>
          <w:lang w:val="fr-FR"/>
        </w:rPr>
        <w:t>Une utilisation des réserves offic</w:t>
      </w:r>
      <w:r w:rsidR="00C97AEA">
        <w:rPr>
          <w:rFonts w:ascii="Arial" w:hAnsi="Arial" w:cs="Arial"/>
          <w:sz w:val="24"/>
          <w:szCs w:val="24"/>
          <w:lang w:val="fr-FR"/>
        </w:rPr>
        <w:t>ielles de change pour détruire l</w:t>
      </w:r>
      <w:r>
        <w:rPr>
          <w:rFonts w:ascii="Arial" w:hAnsi="Arial" w:cs="Arial"/>
          <w:sz w:val="24"/>
          <w:szCs w:val="24"/>
          <w:lang w:val="fr-FR"/>
        </w:rPr>
        <w:t>es gourdes libérées par la mesure relative aux réserves obligatoires</w:t>
      </w:r>
    </w:p>
    <w:p w:rsidR="00825187" w:rsidRPr="00825187" w:rsidRDefault="00E02DA9" w:rsidP="00E02DA9">
      <w:pPr>
        <w:pStyle w:val="NoSpacing"/>
        <w:numPr>
          <w:ilvl w:val="0"/>
          <w:numId w:val="6"/>
        </w:numPr>
        <w:jc w:val="both"/>
        <w:rPr>
          <w:rFonts w:ascii="MS Mincho" w:eastAsia="MS Mincho" w:hAnsi="MS Mincho" w:cs="MS Mincho"/>
          <w:lang w:val="fr-FR"/>
        </w:rPr>
      </w:pPr>
      <w:r>
        <w:rPr>
          <w:rFonts w:ascii="Arial" w:hAnsi="Arial" w:cs="Arial"/>
          <w:sz w:val="24"/>
          <w:szCs w:val="24"/>
          <w:lang w:val="fr-FR"/>
        </w:rPr>
        <w:t>L’introduction d’un nouvel instrument de politique monétaire – une op</w:t>
      </w:r>
      <w:r>
        <w:rPr>
          <w:rFonts w:ascii="Gautami" w:hAnsi="Gautami" w:cs="Gautami"/>
          <w:sz w:val="24"/>
          <w:szCs w:val="24"/>
          <w:lang w:val="fr-FR"/>
        </w:rPr>
        <w:t>ération de swap de devises totalisant 50 millions de dollars a été réalisé</w:t>
      </w:r>
      <w:r w:rsidR="00076468">
        <w:rPr>
          <w:rFonts w:ascii="Gautami" w:hAnsi="Gautami" w:cs="Gautami"/>
          <w:sz w:val="24"/>
          <w:szCs w:val="24"/>
          <w:lang w:val="fr-FR"/>
        </w:rPr>
        <w:t>e</w:t>
      </w:r>
      <w:r>
        <w:rPr>
          <w:rFonts w:ascii="Gautami" w:hAnsi="Gautami" w:cs="Gautami"/>
          <w:sz w:val="24"/>
          <w:szCs w:val="24"/>
          <w:lang w:val="fr-FR"/>
        </w:rPr>
        <w:t xml:space="preserve"> entre les banques commerciales, d’épargne et de logement et la Banque Centrale.  Cette opération est assortie de taux d’intérêts variant de 3 à 6% donnant ainsi une nouvelle </w:t>
      </w:r>
    </w:p>
    <w:p w:rsidR="00825187" w:rsidRPr="00825187" w:rsidRDefault="00825187" w:rsidP="00825187">
      <w:pPr>
        <w:pStyle w:val="NoSpacing"/>
        <w:jc w:val="center"/>
        <w:rPr>
          <w:rFonts w:ascii="Arial" w:eastAsia="MS Mincho" w:hAnsi="Arial" w:cs="Arial"/>
          <w:sz w:val="24"/>
          <w:szCs w:val="24"/>
          <w:lang w:val="fr-FR"/>
        </w:rPr>
      </w:pPr>
      <w:r>
        <w:rPr>
          <w:rFonts w:ascii="Arial" w:eastAsia="MS Mincho" w:hAnsi="Arial" w:cs="Arial"/>
          <w:sz w:val="24"/>
          <w:szCs w:val="24"/>
          <w:lang w:val="fr-FR"/>
        </w:rPr>
        <w:lastRenderedPageBreak/>
        <w:t>-3-</w:t>
      </w:r>
    </w:p>
    <w:p w:rsidR="00825187" w:rsidRDefault="00825187" w:rsidP="00825187">
      <w:pPr>
        <w:pStyle w:val="NoSpacing"/>
        <w:jc w:val="both"/>
        <w:rPr>
          <w:rFonts w:ascii="MS Mincho" w:eastAsia="MS Mincho" w:hAnsi="MS Mincho" w:cs="MS Mincho"/>
          <w:lang w:val="fr-FR"/>
        </w:rPr>
      </w:pPr>
    </w:p>
    <w:p w:rsidR="00825187" w:rsidRPr="00825187" w:rsidRDefault="00825187" w:rsidP="00825187">
      <w:pPr>
        <w:pStyle w:val="NoSpacing"/>
        <w:jc w:val="both"/>
        <w:rPr>
          <w:rFonts w:ascii="MS Mincho" w:eastAsia="MS Mincho" w:hAnsi="MS Mincho" w:cs="MS Mincho"/>
          <w:lang w:val="fr-FR"/>
        </w:rPr>
      </w:pPr>
    </w:p>
    <w:p w:rsidR="000531D6" w:rsidRPr="000531D6" w:rsidRDefault="00E02DA9" w:rsidP="005714EC">
      <w:pPr>
        <w:pStyle w:val="NoSpacing"/>
        <w:ind w:left="720"/>
        <w:jc w:val="both"/>
        <w:rPr>
          <w:rFonts w:ascii="MS Mincho" w:eastAsia="MS Mincho" w:hAnsi="MS Mincho" w:cs="MS Mincho"/>
          <w:lang w:val="fr-FR"/>
        </w:rPr>
      </w:pPr>
      <w:proofErr w:type="gramStart"/>
      <w:r>
        <w:rPr>
          <w:rFonts w:ascii="Gautami" w:hAnsi="Gautami" w:cs="Gautami"/>
          <w:sz w:val="24"/>
          <w:szCs w:val="24"/>
          <w:lang w:val="fr-FR"/>
        </w:rPr>
        <w:t>tendance</w:t>
      </w:r>
      <w:proofErr w:type="gramEnd"/>
      <w:r>
        <w:rPr>
          <w:rFonts w:ascii="Gautami" w:hAnsi="Gautami" w:cs="Gautami"/>
          <w:sz w:val="24"/>
          <w:szCs w:val="24"/>
          <w:lang w:val="fr-FR"/>
        </w:rPr>
        <w:t xml:space="preserve"> aux taux directeurs constitués </w:t>
      </w:r>
      <w:r w:rsidR="00C01244">
        <w:rPr>
          <w:rFonts w:ascii="Gautami" w:hAnsi="Gautami" w:cs="Gautami"/>
          <w:sz w:val="24"/>
          <w:szCs w:val="24"/>
          <w:lang w:val="fr-FR"/>
        </w:rPr>
        <w:t>jusque là</w:t>
      </w:r>
      <w:r w:rsidR="000531D6">
        <w:rPr>
          <w:rFonts w:ascii="Gautami" w:hAnsi="Gautami" w:cs="Gautami"/>
          <w:sz w:val="24"/>
          <w:szCs w:val="24"/>
          <w:lang w:val="fr-FR"/>
        </w:rPr>
        <w:t xml:space="preserve"> de taux sur les placements dans les bons dont l’encours et les taux </w:t>
      </w:r>
      <w:r w:rsidR="00EC246C">
        <w:rPr>
          <w:rFonts w:ascii="Gautami" w:hAnsi="Gautami" w:cs="Gautami"/>
          <w:sz w:val="24"/>
          <w:szCs w:val="24"/>
          <w:lang w:val="fr-FR"/>
        </w:rPr>
        <w:t>stagnent</w:t>
      </w:r>
      <w:r w:rsidR="000531D6">
        <w:rPr>
          <w:rFonts w:ascii="Gautami" w:hAnsi="Gautami" w:cs="Gautami"/>
          <w:sz w:val="24"/>
          <w:szCs w:val="24"/>
          <w:lang w:val="fr-FR"/>
        </w:rPr>
        <w:t xml:space="preserve"> depuis plusieurs années.</w:t>
      </w:r>
    </w:p>
    <w:p w:rsidR="000531D6" w:rsidRDefault="000531D6" w:rsidP="000531D6">
      <w:pPr>
        <w:pStyle w:val="NoSpacing"/>
        <w:jc w:val="both"/>
        <w:rPr>
          <w:rFonts w:ascii="MS Mincho" w:eastAsia="MS Mincho" w:hAnsi="MS Mincho" w:cs="MS Mincho"/>
          <w:lang w:val="fr-FR"/>
        </w:rPr>
      </w:pPr>
    </w:p>
    <w:p w:rsidR="000531D6" w:rsidRDefault="000531D6" w:rsidP="000531D6">
      <w:pPr>
        <w:pStyle w:val="NoSpacing"/>
        <w:jc w:val="both"/>
        <w:rPr>
          <w:rFonts w:ascii="MS Mincho" w:eastAsia="MS Mincho" w:hAnsi="MS Mincho" w:cs="MS Mincho"/>
          <w:lang w:val="fr-FR"/>
        </w:rPr>
      </w:pPr>
    </w:p>
    <w:p w:rsidR="00E02DA9" w:rsidRDefault="000531D6" w:rsidP="000531D6">
      <w:pPr>
        <w:pStyle w:val="NoSpacing"/>
        <w:jc w:val="both"/>
        <w:rPr>
          <w:rFonts w:ascii="Gautami" w:hAnsi="Gautami" w:cs="Gautami"/>
          <w:b/>
          <w:sz w:val="24"/>
          <w:szCs w:val="24"/>
          <w:u w:val="single"/>
          <w:lang w:val="fr-FR"/>
        </w:rPr>
      </w:pPr>
      <w:r w:rsidRPr="00C00DB2">
        <w:rPr>
          <w:rFonts w:ascii="Gautami" w:hAnsi="Gautami" w:cs="Gautami"/>
          <w:b/>
          <w:sz w:val="24"/>
          <w:szCs w:val="24"/>
          <w:u w:val="single"/>
          <w:lang w:val="fr-FR"/>
        </w:rPr>
        <w:t>La modernisation du secteur bancaire</w:t>
      </w:r>
      <w:r w:rsidR="00E02DA9" w:rsidRPr="00C00DB2">
        <w:rPr>
          <w:rFonts w:ascii="Gautami" w:hAnsi="Gautami" w:cs="Gautami"/>
          <w:b/>
          <w:sz w:val="24"/>
          <w:szCs w:val="24"/>
          <w:u w:val="single"/>
          <w:lang w:val="fr-FR"/>
        </w:rPr>
        <w:t xml:space="preserve"> </w:t>
      </w:r>
    </w:p>
    <w:p w:rsidR="008C1385" w:rsidRPr="00C00DB2" w:rsidRDefault="008C1385" w:rsidP="000531D6">
      <w:pPr>
        <w:pStyle w:val="NoSpacing"/>
        <w:jc w:val="both"/>
        <w:rPr>
          <w:rFonts w:ascii="Gautami" w:hAnsi="Gautami" w:cs="Gautami"/>
          <w:b/>
          <w:sz w:val="24"/>
          <w:szCs w:val="24"/>
          <w:u w:val="single"/>
          <w:lang w:val="fr-FR"/>
        </w:rPr>
      </w:pPr>
    </w:p>
    <w:p w:rsidR="004A7300" w:rsidRDefault="004A7300" w:rsidP="000531D6">
      <w:pPr>
        <w:pStyle w:val="NoSpacing"/>
        <w:jc w:val="both"/>
        <w:rPr>
          <w:rFonts w:ascii="Gautami" w:hAnsi="Gautami" w:cs="Gautami"/>
          <w:sz w:val="24"/>
          <w:szCs w:val="24"/>
          <w:lang w:val="fr-FR"/>
        </w:rPr>
      </w:pPr>
    </w:p>
    <w:p w:rsidR="004A7300" w:rsidRDefault="004A7300" w:rsidP="000531D6">
      <w:pPr>
        <w:pStyle w:val="NoSpacing"/>
        <w:jc w:val="both"/>
        <w:rPr>
          <w:rFonts w:ascii="Gautami" w:hAnsi="Gautami" w:cs="Gautami"/>
          <w:sz w:val="24"/>
          <w:szCs w:val="24"/>
          <w:lang w:val="fr-FR"/>
        </w:rPr>
      </w:pPr>
      <w:r>
        <w:rPr>
          <w:rFonts w:ascii="Gautami" w:hAnsi="Gautami" w:cs="Gautami"/>
          <w:sz w:val="24"/>
          <w:szCs w:val="24"/>
          <w:lang w:val="fr-FR"/>
        </w:rPr>
        <w:t>La modernisation s’est poursuivie avec la standardisation des chèques, la compensation électronique, la plateforme</w:t>
      </w:r>
      <w:r w:rsidR="00D546BB">
        <w:rPr>
          <w:rFonts w:ascii="Gautami" w:hAnsi="Gautami" w:cs="Gautami"/>
          <w:sz w:val="24"/>
          <w:szCs w:val="24"/>
          <w:lang w:val="fr-FR"/>
        </w:rPr>
        <w:t xml:space="preserve"> d’interconnexion des banques.</w:t>
      </w:r>
    </w:p>
    <w:p w:rsidR="00D546BB" w:rsidRDefault="00D546BB" w:rsidP="000531D6">
      <w:pPr>
        <w:pStyle w:val="NoSpacing"/>
        <w:jc w:val="both"/>
        <w:rPr>
          <w:rFonts w:ascii="Gautami" w:hAnsi="Gautami" w:cs="Gautami"/>
          <w:sz w:val="24"/>
          <w:szCs w:val="24"/>
          <w:lang w:val="fr-FR"/>
        </w:rPr>
      </w:pPr>
    </w:p>
    <w:p w:rsidR="00D546BB" w:rsidRDefault="00D546BB" w:rsidP="000531D6">
      <w:pPr>
        <w:pStyle w:val="NoSpacing"/>
        <w:jc w:val="both"/>
        <w:rPr>
          <w:rFonts w:ascii="Gautami" w:hAnsi="Gautami" w:cs="Gautami"/>
          <w:sz w:val="24"/>
          <w:szCs w:val="24"/>
          <w:lang w:val="fr-FR"/>
        </w:rPr>
      </w:pPr>
      <w:r>
        <w:rPr>
          <w:rFonts w:ascii="Gautami" w:hAnsi="Gautami" w:cs="Gautami"/>
          <w:sz w:val="24"/>
          <w:szCs w:val="24"/>
          <w:lang w:val="fr-FR"/>
        </w:rPr>
        <w:t>La standardisation des chèques, ce projet est arrivé à terme avec la publication d’une lettre circulaire de la BRH définissant les normes de sécurité des chèques et l’utilisation uniquement des chèques standardisés à partir de janvier 2013.</w:t>
      </w:r>
    </w:p>
    <w:p w:rsidR="00D546BB" w:rsidRDefault="00D546BB" w:rsidP="000531D6">
      <w:pPr>
        <w:pStyle w:val="NoSpacing"/>
        <w:jc w:val="both"/>
        <w:rPr>
          <w:rFonts w:ascii="Gautami" w:hAnsi="Gautami" w:cs="Gautami"/>
          <w:sz w:val="24"/>
          <w:szCs w:val="24"/>
          <w:lang w:val="fr-FR"/>
        </w:rPr>
      </w:pPr>
    </w:p>
    <w:p w:rsidR="00D546BB" w:rsidRDefault="00D546BB" w:rsidP="000531D6">
      <w:pPr>
        <w:pStyle w:val="NoSpacing"/>
        <w:jc w:val="both"/>
        <w:rPr>
          <w:rFonts w:ascii="Gautami" w:hAnsi="Gautami" w:cs="Gautami"/>
          <w:sz w:val="24"/>
          <w:szCs w:val="24"/>
          <w:lang w:val="fr-FR"/>
        </w:rPr>
      </w:pPr>
      <w:r>
        <w:rPr>
          <w:rFonts w:ascii="Gautami" w:hAnsi="Gautami" w:cs="Gautami"/>
          <w:sz w:val="24"/>
          <w:szCs w:val="24"/>
          <w:lang w:val="fr-FR"/>
        </w:rPr>
        <w:t>La compensation électronique est au stade de test.  Des réunions se tiennent chaque 15 jours au siège de l’APB afin d’évaluer les problèmes rencontrés et leur apporter des solutions.   Les tests sont concluants, les images sont échangées entre les banques à partir de la plateforme installée à la BRH, il ne reste que la mise en production effective.</w:t>
      </w:r>
      <w:r w:rsidR="006E004F">
        <w:rPr>
          <w:rFonts w:ascii="Gautami" w:hAnsi="Gautami" w:cs="Gautami"/>
          <w:sz w:val="24"/>
          <w:szCs w:val="24"/>
          <w:lang w:val="fr-FR"/>
        </w:rPr>
        <w:t xml:space="preserve"> Dès novembre 2013, la compensation des chèques ne se fera plus manuellement.</w:t>
      </w:r>
    </w:p>
    <w:p w:rsidR="00D546BB" w:rsidRDefault="00D546BB" w:rsidP="000531D6">
      <w:pPr>
        <w:pStyle w:val="NoSpacing"/>
        <w:jc w:val="both"/>
        <w:rPr>
          <w:rFonts w:ascii="Gautami" w:hAnsi="Gautami" w:cs="Gautami"/>
          <w:sz w:val="24"/>
          <w:szCs w:val="24"/>
          <w:lang w:val="fr-FR"/>
        </w:rPr>
      </w:pPr>
    </w:p>
    <w:p w:rsidR="00D546BB" w:rsidRDefault="00D546BB" w:rsidP="000531D6">
      <w:pPr>
        <w:pStyle w:val="NoSpacing"/>
        <w:jc w:val="both"/>
        <w:rPr>
          <w:rFonts w:ascii="Gautami" w:hAnsi="Gautami" w:cs="Gautami"/>
          <w:sz w:val="24"/>
          <w:szCs w:val="24"/>
          <w:lang w:val="fr-FR"/>
        </w:rPr>
      </w:pPr>
      <w:r>
        <w:rPr>
          <w:rFonts w:ascii="Gautami" w:hAnsi="Gautami" w:cs="Gautami"/>
          <w:sz w:val="24"/>
          <w:szCs w:val="24"/>
          <w:lang w:val="fr-FR"/>
        </w:rPr>
        <w:t>La plateforme de paiement de la BRH sera également utilisée pour la compensation en Haïti des cartes de débit et de crédit.  Un comité de l’APB a travaillé en ce sens avec les représentants</w:t>
      </w:r>
      <w:r w:rsidR="006E004F">
        <w:rPr>
          <w:rFonts w:ascii="Gautami" w:hAnsi="Gautami" w:cs="Gautami"/>
          <w:sz w:val="24"/>
          <w:szCs w:val="24"/>
          <w:lang w:val="fr-FR"/>
        </w:rPr>
        <w:t xml:space="preserve"> et les</w:t>
      </w:r>
      <w:r>
        <w:rPr>
          <w:rFonts w:ascii="Gautami" w:hAnsi="Gautami" w:cs="Gautami"/>
          <w:sz w:val="24"/>
          <w:szCs w:val="24"/>
          <w:lang w:val="fr-FR"/>
        </w:rPr>
        <w:t xml:space="preserve"> techniciens de la BRH.  L’objectif poursuivi pour la carte de crédit est  non seulement la compensation électronique sur place mais aussi le paiement en monnaie nationale des achats effectués en Haïti.</w:t>
      </w:r>
    </w:p>
    <w:p w:rsidR="00D546BB" w:rsidRDefault="00D546BB" w:rsidP="000531D6">
      <w:pPr>
        <w:pStyle w:val="NoSpacing"/>
        <w:jc w:val="both"/>
        <w:rPr>
          <w:rFonts w:ascii="Gautami" w:hAnsi="Gautami" w:cs="Gautami"/>
          <w:sz w:val="24"/>
          <w:szCs w:val="24"/>
          <w:lang w:val="fr-FR"/>
        </w:rPr>
      </w:pPr>
    </w:p>
    <w:p w:rsidR="00D546BB" w:rsidRDefault="00D546BB" w:rsidP="000531D6">
      <w:pPr>
        <w:pStyle w:val="NoSpacing"/>
        <w:jc w:val="both"/>
        <w:rPr>
          <w:rFonts w:ascii="Gautami" w:hAnsi="Gautami" w:cs="Gautami"/>
          <w:sz w:val="24"/>
          <w:szCs w:val="24"/>
          <w:lang w:val="fr-FR"/>
        </w:rPr>
      </w:pPr>
      <w:r>
        <w:rPr>
          <w:rFonts w:ascii="Gautami" w:hAnsi="Gautami" w:cs="Gautami"/>
          <w:sz w:val="24"/>
          <w:szCs w:val="24"/>
          <w:lang w:val="fr-FR"/>
        </w:rPr>
        <w:t>De très bonnes performances sont enregistrées après les tests effectués par la BRH de concert avec les banques.  La gestion des situations d’urgence, les plans de continuité des systèmes sont autant d’éléments</w:t>
      </w:r>
      <w:r w:rsidR="002A421F">
        <w:rPr>
          <w:rFonts w:ascii="Gautami" w:hAnsi="Gautami" w:cs="Gautami"/>
          <w:sz w:val="24"/>
          <w:szCs w:val="24"/>
          <w:lang w:val="fr-FR"/>
        </w:rPr>
        <w:t xml:space="preserve"> restant</w:t>
      </w:r>
      <w:r w:rsidR="000F714D">
        <w:rPr>
          <w:rFonts w:ascii="Gautami" w:hAnsi="Gautami" w:cs="Gautami"/>
          <w:sz w:val="24"/>
          <w:szCs w:val="24"/>
          <w:lang w:val="fr-FR"/>
        </w:rPr>
        <w:t xml:space="preserve"> à travailler avant le passage en production de la compensation électronique.</w:t>
      </w:r>
    </w:p>
    <w:p w:rsidR="008C1385" w:rsidRDefault="008C1385" w:rsidP="000531D6">
      <w:pPr>
        <w:pStyle w:val="NoSpacing"/>
        <w:jc w:val="both"/>
        <w:rPr>
          <w:rFonts w:ascii="Gautami" w:hAnsi="Gautami" w:cs="Gautami"/>
          <w:sz w:val="24"/>
          <w:szCs w:val="24"/>
          <w:lang w:val="fr-FR"/>
        </w:rPr>
      </w:pPr>
    </w:p>
    <w:p w:rsidR="008C1385" w:rsidRPr="004E392B" w:rsidRDefault="008C1385" w:rsidP="000531D6">
      <w:pPr>
        <w:pStyle w:val="NoSpacing"/>
        <w:jc w:val="both"/>
        <w:rPr>
          <w:rFonts w:ascii="Gautami" w:hAnsi="Gautami" w:cs="Gautami"/>
          <w:b/>
          <w:sz w:val="24"/>
          <w:szCs w:val="24"/>
          <w:u w:val="single"/>
          <w:lang w:val="fr-FR"/>
        </w:rPr>
      </w:pPr>
      <w:r w:rsidRPr="004E392B">
        <w:rPr>
          <w:rFonts w:ascii="Gautami" w:hAnsi="Gautami" w:cs="Gautami"/>
          <w:b/>
          <w:sz w:val="24"/>
          <w:szCs w:val="24"/>
          <w:u w:val="single"/>
          <w:lang w:val="fr-FR"/>
        </w:rPr>
        <w:t>L’Agenda législatif du Secteur Bancaire</w:t>
      </w:r>
    </w:p>
    <w:p w:rsidR="008C1385" w:rsidRDefault="008C1385" w:rsidP="000531D6">
      <w:pPr>
        <w:pStyle w:val="NoSpacing"/>
        <w:jc w:val="both"/>
        <w:rPr>
          <w:rFonts w:ascii="Gautami" w:hAnsi="Gautami" w:cs="Gautami"/>
          <w:sz w:val="24"/>
          <w:szCs w:val="24"/>
          <w:lang w:val="fr-FR"/>
        </w:rPr>
      </w:pPr>
    </w:p>
    <w:p w:rsidR="008C1385" w:rsidRDefault="008C1385" w:rsidP="000531D6">
      <w:pPr>
        <w:pStyle w:val="NoSpacing"/>
        <w:jc w:val="both"/>
        <w:rPr>
          <w:rFonts w:ascii="Gautami" w:hAnsi="Gautami" w:cs="Gautami"/>
          <w:sz w:val="24"/>
          <w:szCs w:val="24"/>
          <w:lang w:val="fr-FR"/>
        </w:rPr>
      </w:pPr>
      <w:r>
        <w:rPr>
          <w:rFonts w:ascii="Gautami" w:hAnsi="Gautami" w:cs="Gautami"/>
          <w:sz w:val="24"/>
          <w:szCs w:val="24"/>
          <w:lang w:val="fr-FR"/>
        </w:rPr>
        <w:t xml:space="preserve">Notre agenda  législatif a été très copieux durant l’exercice 2011/2012.  En décembre 2011, l’APB a convié ses membres, les représentants de l’Association des Notaires et les cabinets d’avocats ayant travaillé sur le projet </w:t>
      </w:r>
      <w:r w:rsidR="00CD5335">
        <w:rPr>
          <w:rFonts w:ascii="Gautami" w:hAnsi="Gautami" w:cs="Gautami"/>
          <w:sz w:val="24"/>
          <w:szCs w:val="24"/>
          <w:lang w:val="fr-FR"/>
        </w:rPr>
        <w:t>ainsi que</w:t>
      </w:r>
      <w:r>
        <w:rPr>
          <w:rFonts w:ascii="Gautami" w:hAnsi="Gautami" w:cs="Gautami"/>
          <w:sz w:val="24"/>
          <w:szCs w:val="24"/>
          <w:lang w:val="fr-FR"/>
        </w:rPr>
        <w:t xml:space="preserve"> les représentants de la Présidence à une séance de travail sur l’arrêté d’interprétation de la loi relative à la copropriété.  L’arrêté fixant la procédure et les modalités d’application de la loi du 13 août 1984 organisant le régime de la copropriété a été publié dans le journal officiel le 13 janvier 2012 (Moniteur #4)  Cet arrêté interprète le règlement de</w:t>
      </w:r>
      <w:r w:rsidR="00CD5335">
        <w:rPr>
          <w:rFonts w:ascii="Gautami" w:hAnsi="Gautami" w:cs="Gautami"/>
          <w:sz w:val="24"/>
          <w:szCs w:val="24"/>
          <w:lang w:val="fr-FR"/>
        </w:rPr>
        <w:t xml:space="preserve"> la</w:t>
      </w:r>
      <w:r>
        <w:rPr>
          <w:rFonts w:ascii="Gautami" w:hAnsi="Gautami" w:cs="Gautami"/>
          <w:sz w:val="24"/>
          <w:szCs w:val="24"/>
          <w:lang w:val="fr-FR"/>
        </w:rPr>
        <w:t xml:space="preserve"> copropriété, la mutation du droit de copropriété et il organise le fonctionnement du conseil syndical.</w:t>
      </w:r>
    </w:p>
    <w:p w:rsidR="00CD5335" w:rsidRDefault="00CD5335" w:rsidP="000531D6">
      <w:pPr>
        <w:pStyle w:val="NoSpacing"/>
        <w:jc w:val="both"/>
        <w:rPr>
          <w:rFonts w:ascii="Gautami" w:hAnsi="Gautami" w:cs="Gautami"/>
          <w:sz w:val="24"/>
          <w:szCs w:val="24"/>
          <w:lang w:val="fr-FR"/>
        </w:rPr>
      </w:pPr>
    </w:p>
    <w:p w:rsidR="00CD5335" w:rsidRDefault="00CD5335" w:rsidP="000531D6">
      <w:pPr>
        <w:pStyle w:val="NoSpacing"/>
        <w:jc w:val="both"/>
        <w:rPr>
          <w:rFonts w:ascii="Gautami" w:hAnsi="Gautami" w:cs="Gautami"/>
          <w:sz w:val="24"/>
          <w:szCs w:val="24"/>
          <w:lang w:val="fr-FR"/>
        </w:rPr>
      </w:pPr>
    </w:p>
    <w:p w:rsidR="007425EF" w:rsidRDefault="007425EF" w:rsidP="007425EF">
      <w:pPr>
        <w:pStyle w:val="NoSpacing"/>
        <w:jc w:val="center"/>
        <w:rPr>
          <w:rFonts w:ascii="Gautami" w:hAnsi="Gautami" w:cs="Gautami"/>
          <w:sz w:val="24"/>
          <w:szCs w:val="24"/>
          <w:lang w:val="fr-FR"/>
        </w:rPr>
      </w:pPr>
      <w:r>
        <w:rPr>
          <w:rFonts w:ascii="Gautami" w:hAnsi="Gautami" w:cs="Gautami"/>
          <w:sz w:val="24"/>
          <w:szCs w:val="24"/>
          <w:lang w:val="fr-FR"/>
        </w:rPr>
        <w:lastRenderedPageBreak/>
        <w:t>4-</w:t>
      </w:r>
    </w:p>
    <w:p w:rsidR="008C1385" w:rsidRDefault="008C1385" w:rsidP="000531D6">
      <w:pPr>
        <w:pStyle w:val="NoSpacing"/>
        <w:jc w:val="both"/>
        <w:rPr>
          <w:rFonts w:ascii="Gautami" w:hAnsi="Gautami" w:cs="Gautami"/>
          <w:sz w:val="24"/>
          <w:szCs w:val="24"/>
          <w:lang w:val="fr-FR"/>
        </w:rPr>
      </w:pPr>
    </w:p>
    <w:p w:rsidR="008C1385" w:rsidRDefault="008C1385" w:rsidP="000531D6">
      <w:pPr>
        <w:pStyle w:val="NoSpacing"/>
        <w:jc w:val="both"/>
        <w:rPr>
          <w:rFonts w:ascii="Gautami" w:hAnsi="Gautami" w:cs="Gautami"/>
          <w:sz w:val="24"/>
          <w:szCs w:val="24"/>
          <w:lang w:val="fr-FR"/>
        </w:rPr>
      </w:pPr>
      <w:r>
        <w:rPr>
          <w:rFonts w:ascii="Gautami" w:hAnsi="Gautami" w:cs="Gautami"/>
          <w:sz w:val="24"/>
          <w:szCs w:val="24"/>
          <w:lang w:val="fr-FR"/>
        </w:rPr>
        <w:t xml:space="preserve">La nouvelle loi bancaire votée par l’une des branches de la chambre législative </w:t>
      </w:r>
      <w:r w:rsidR="00A67D05">
        <w:rPr>
          <w:rFonts w:ascii="Gautami" w:hAnsi="Gautami" w:cs="Gautami"/>
          <w:sz w:val="24"/>
          <w:szCs w:val="24"/>
          <w:lang w:val="fr-FR"/>
        </w:rPr>
        <w:t xml:space="preserve">durant </w:t>
      </w:r>
      <w:r>
        <w:rPr>
          <w:rFonts w:ascii="Gautami" w:hAnsi="Gautami" w:cs="Gautami"/>
          <w:sz w:val="24"/>
          <w:szCs w:val="24"/>
          <w:lang w:val="fr-FR"/>
        </w:rPr>
        <w:t>l’année 2010 a reçu</w:t>
      </w:r>
      <w:r w:rsidR="007425EF">
        <w:rPr>
          <w:rFonts w:ascii="Gautami" w:hAnsi="Gautami" w:cs="Gautami"/>
          <w:sz w:val="24"/>
          <w:szCs w:val="24"/>
          <w:lang w:val="fr-FR"/>
        </w:rPr>
        <w:t xml:space="preserve"> une attention particulière.  Le Conseil d’Admi</w:t>
      </w:r>
      <w:r w:rsidR="00DC1C59">
        <w:rPr>
          <w:rFonts w:ascii="Gautami" w:hAnsi="Gautami" w:cs="Gautami"/>
          <w:sz w:val="24"/>
          <w:szCs w:val="24"/>
          <w:lang w:val="fr-FR"/>
        </w:rPr>
        <w:t>nistration de l’</w:t>
      </w:r>
      <w:r w:rsidR="007425EF">
        <w:rPr>
          <w:rFonts w:ascii="Gautami" w:hAnsi="Gautami" w:cs="Gautami"/>
          <w:sz w:val="24"/>
          <w:szCs w:val="24"/>
          <w:lang w:val="fr-FR"/>
        </w:rPr>
        <w:t>APB a mis tout son poids dans la balance pour faire voter par les deux branches du pouvoir législatif</w:t>
      </w:r>
      <w:r w:rsidR="00AC03BA">
        <w:rPr>
          <w:rFonts w:ascii="Gautami" w:hAnsi="Gautami" w:cs="Gautami"/>
          <w:sz w:val="24"/>
          <w:szCs w:val="24"/>
          <w:lang w:val="fr-FR"/>
        </w:rPr>
        <w:t xml:space="preserve"> la loi portant sur les banques et autres institutions financières.  Les Présidents des commissions économiques des deux chambres ont participé à des séances de travail organisé par l’APB.  La BRH a joué sa partition en acceptant de coopérer avec les membres de la profession bancaire en vue du retrait de certains articles. La nouvelle loi bancaire a été publiée au Moniteur #64 de juillet 2012.</w:t>
      </w:r>
    </w:p>
    <w:p w:rsidR="00AC5C0A" w:rsidRDefault="00AC5C0A" w:rsidP="000531D6">
      <w:pPr>
        <w:pStyle w:val="NoSpacing"/>
        <w:jc w:val="both"/>
        <w:rPr>
          <w:rFonts w:ascii="Gautami" w:hAnsi="Gautami" w:cs="Gautami"/>
          <w:sz w:val="24"/>
          <w:szCs w:val="24"/>
          <w:lang w:val="fr-FR"/>
        </w:rPr>
      </w:pPr>
    </w:p>
    <w:p w:rsidR="00AC5C0A" w:rsidRDefault="00AC5C0A" w:rsidP="000531D6">
      <w:pPr>
        <w:pStyle w:val="NoSpacing"/>
        <w:jc w:val="both"/>
        <w:rPr>
          <w:rFonts w:ascii="Gautami" w:hAnsi="Gautami" w:cs="Gautami"/>
          <w:sz w:val="24"/>
          <w:szCs w:val="24"/>
          <w:lang w:val="fr-FR"/>
        </w:rPr>
      </w:pPr>
      <w:r>
        <w:rPr>
          <w:rFonts w:ascii="Gautami" w:hAnsi="Gautami" w:cs="Gautami"/>
          <w:sz w:val="24"/>
          <w:szCs w:val="24"/>
          <w:lang w:val="fr-FR"/>
        </w:rPr>
        <w:t xml:space="preserve">Le projet de loi cadre sur les assurances présenté par le Ministère de l’Economie et des Finances </w:t>
      </w:r>
      <w:proofErr w:type="gramStart"/>
      <w:r>
        <w:rPr>
          <w:rFonts w:ascii="Gautami" w:hAnsi="Gautami" w:cs="Gautami"/>
          <w:sz w:val="24"/>
          <w:szCs w:val="24"/>
          <w:lang w:val="fr-FR"/>
        </w:rPr>
        <w:t>a</w:t>
      </w:r>
      <w:proofErr w:type="gramEnd"/>
      <w:r>
        <w:rPr>
          <w:rFonts w:ascii="Gautami" w:hAnsi="Gautami" w:cs="Gautami"/>
          <w:sz w:val="24"/>
          <w:szCs w:val="24"/>
          <w:lang w:val="fr-FR"/>
        </w:rPr>
        <w:t xml:space="preserve"> été discuté avec les membres de l’APB qui ont fait des recommandations pertinentes sur le projet.  Un texte contenant des recommandations de </w:t>
      </w:r>
      <w:proofErr w:type="gramStart"/>
      <w:r>
        <w:rPr>
          <w:rFonts w:ascii="Gautami" w:hAnsi="Gautami" w:cs="Gautami"/>
          <w:sz w:val="24"/>
          <w:szCs w:val="24"/>
          <w:lang w:val="fr-FR"/>
        </w:rPr>
        <w:t xml:space="preserve">la </w:t>
      </w:r>
      <w:proofErr w:type="spellStart"/>
      <w:r>
        <w:rPr>
          <w:rFonts w:ascii="Gautami" w:hAnsi="Gautami" w:cs="Gautami"/>
          <w:sz w:val="24"/>
          <w:szCs w:val="24"/>
          <w:lang w:val="fr-FR"/>
        </w:rPr>
        <w:t>Unibank</w:t>
      </w:r>
      <w:proofErr w:type="spellEnd"/>
      <w:proofErr w:type="gramEnd"/>
      <w:r>
        <w:rPr>
          <w:rFonts w:ascii="Gautami" w:hAnsi="Gautami" w:cs="Gautami"/>
          <w:sz w:val="24"/>
          <w:szCs w:val="24"/>
          <w:lang w:val="fr-FR"/>
        </w:rPr>
        <w:t xml:space="preserve"> sur les divers articles</w:t>
      </w:r>
      <w:r w:rsidR="00B83D1C">
        <w:rPr>
          <w:rFonts w:ascii="Gautami" w:hAnsi="Gautami" w:cs="Gautami"/>
          <w:sz w:val="24"/>
          <w:szCs w:val="24"/>
          <w:lang w:val="fr-FR"/>
        </w:rPr>
        <w:t xml:space="preserve"> du projet de loi a été acheminé au MEF.  Toutefois une réunion patronnée par l’APB avec pour objectif d’harmoniser les points de vue des secteurs assurances et bancaires n’a pu se tenir faute de quorum</w:t>
      </w:r>
      <w:proofErr w:type="gramStart"/>
      <w:r w:rsidR="00B83D1C">
        <w:rPr>
          <w:rFonts w:ascii="Gautami" w:hAnsi="Gautami" w:cs="Gautami"/>
          <w:sz w:val="24"/>
          <w:szCs w:val="24"/>
          <w:lang w:val="fr-FR"/>
        </w:rPr>
        <w:t>..</w:t>
      </w:r>
      <w:proofErr w:type="gramEnd"/>
    </w:p>
    <w:p w:rsidR="00B83D1C" w:rsidRDefault="00B83D1C" w:rsidP="000531D6">
      <w:pPr>
        <w:pStyle w:val="NoSpacing"/>
        <w:jc w:val="both"/>
        <w:rPr>
          <w:rFonts w:ascii="Gautami" w:hAnsi="Gautami" w:cs="Gautami"/>
          <w:sz w:val="24"/>
          <w:szCs w:val="24"/>
          <w:lang w:val="fr-FR"/>
        </w:rPr>
      </w:pPr>
    </w:p>
    <w:p w:rsidR="00B83D1C" w:rsidRDefault="00B83D1C" w:rsidP="000531D6">
      <w:pPr>
        <w:pStyle w:val="NoSpacing"/>
        <w:jc w:val="both"/>
        <w:rPr>
          <w:rFonts w:ascii="Gautami" w:hAnsi="Gautami" w:cs="Gautami"/>
          <w:sz w:val="24"/>
          <w:szCs w:val="24"/>
          <w:lang w:val="fr-FR"/>
        </w:rPr>
      </w:pPr>
      <w:r>
        <w:rPr>
          <w:rFonts w:ascii="Gautami" w:hAnsi="Gautami" w:cs="Gautami"/>
          <w:sz w:val="24"/>
          <w:szCs w:val="24"/>
          <w:lang w:val="fr-FR"/>
        </w:rPr>
        <w:t>Le projet de loi sur le blanchiment des capitaux et le financement du terrorisme a été déposé au Parlement – ce texte devrait être enrichi des nouvelles obligations du GAFI sur la criminalisation de la fraude et évasion fiscale</w:t>
      </w:r>
      <w:r w:rsidR="00201F8E">
        <w:rPr>
          <w:rFonts w:ascii="Gautami" w:hAnsi="Gautami" w:cs="Gautami"/>
          <w:sz w:val="24"/>
          <w:szCs w:val="24"/>
          <w:lang w:val="fr-FR"/>
        </w:rPr>
        <w:t>s</w:t>
      </w:r>
      <w:r>
        <w:rPr>
          <w:rFonts w:ascii="Gautami" w:hAnsi="Gautami" w:cs="Gautami"/>
          <w:sz w:val="24"/>
          <w:szCs w:val="24"/>
          <w:lang w:val="fr-FR"/>
        </w:rPr>
        <w:t>.  L’APB continue de sensibiliser les autorités, le Parlement pour un vote de la loi avant la prochaine session plénière du GAFI fixé</w:t>
      </w:r>
      <w:r w:rsidR="00201F8E">
        <w:rPr>
          <w:rFonts w:ascii="Gautami" w:hAnsi="Gautami" w:cs="Gautami"/>
          <w:sz w:val="24"/>
          <w:szCs w:val="24"/>
          <w:lang w:val="fr-FR"/>
        </w:rPr>
        <w:t>e</w:t>
      </w:r>
      <w:r>
        <w:rPr>
          <w:rFonts w:ascii="Gautami" w:hAnsi="Gautami" w:cs="Gautami"/>
          <w:sz w:val="24"/>
          <w:szCs w:val="24"/>
          <w:lang w:val="fr-FR"/>
        </w:rPr>
        <w:t xml:space="preserve"> en novembre 2012.</w:t>
      </w:r>
    </w:p>
    <w:p w:rsidR="00B83D1C" w:rsidRDefault="00B83D1C" w:rsidP="000531D6">
      <w:pPr>
        <w:pStyle w:val="NoSpacing"/>
        <w:jc w:val="both"/>
        <w:rPr>
          <w:rFonts w:ascii="Gautami" w:hAnsi="Gautami" w:cs="Gautami"/>
          <w:sz w:val="24"/>
          <w:szCs w:val="24"/>
          <w:lang w:val="fr-FR"/>
        </w:rPr>
      </w:pPr>
    </w:p>
    <w:p w:rsidR="00B83D1C" w:rsidRPr="004E392B" w:rsidRDefault="00B83D1C" w:rsidP="000531D6">
      <w:pPr>
        <w:pStyle w:val="NoSpacing"/>
        <w:jc w:val="both"/>
        <w:rPr>
          <w:rFonts w:ascii="Gautami" w:hAnsi="Gautami" w:cs="Gautami"/>
          <w:b/>
          <w:sz w:val="24"/>
          <w:szCs w:val="24"/>
          <w:u w:val="single"/>
          <w:lang w:val="fr-FR"/>
        </w:rPr>
      </w:pPr>
      <w:r w:rsidRPr="004E392B">
        <w:rPr>
          <w:rFonts w:ascii="Gautami" w:hAnsi="Gautami" w:cs="Gautami"/>
          <w:b/>
          <w:sz w:val="24"/>
          <w:szCs w:val="24"/>
          <w:u w:val="single"/>
          <w:lang w:val="fr-FR"/>
        </w:rPr>
        <w:t>Relation avec les autres organisations</w:t>
      </w:r>
    </w:p>
    <w:p w:rsidR="00B83D1C" w:rsidRDefault="00B83D1C" w:rsidP="000531D6">
      <w:pPr>
        <w:pStyle w:val="NoSpacing"/>
        <w:jc w:val="both"/>
        <w:rPr>
          <w:rFonts w:ascii="Gautami" w:hAnsi="Gautami" w:cs="Gautami"/>
          <w:sz w:val="24"/>
          <w:szCs w:val="24"/>
          <w:lang w:val="fr-FR"/>
        </w:rPr>
      </w:pPr>
    </w:p>
    <w:p w:rsidR="00B83D1C" w:rsidRDefault="00B83D1C" w:rsidP="000531D6">
      <w:pPr>
        <w:pStyle w:val="NoSpacing"/>
        <w:jc w:val="both"/>
        <w:rPr>
          <w:rFonts w:ascii="Gautami" w:hAnsi="Gautami" w:cs="Gautami"/>
          <w:sz w:val="24"/>
          <w:szCs w:val="24"/>
          <w:lang w:val="fr-FR"/>
        </w:rPr>
      </w:pPr>
      <w:r>
        <w:rPr>
          <w:rFonts w:ascii="Gautami" w:hAnsi="Gautami" w:cs="Gautami"/>
          <w:sz w:val="24"/>
          <w:szCs w:val="24"/>
          <w:lang w:val="fr-FR"/>
        </w:rPr>
        <w:t xml:space="preserve">L’APB a travaillé durant cet exercice avec de multiples organisations tant nationales qu’internationales sur des </w:t>
      </w:r>
      <w:r w:rsidR="00DC1C59">
        <w:rPr>
          <w:rFonts w:ascii="Gautami" w:hAnsi="Gautami" w:cs="Gautami"/>
          <w:sz w:val="24"/>
          <w:szCs w:val="24"/>
          <w:lang w:val="fr-FR"/>
        </w:rPr>
        <w:t>sujets d’intérêts communs.  E</w:t>
      </w:r>
      <w:r>
        <w:rPr>
          <w:rFonts w:ascii="Gautami" w:hAnsi="Gautami" w:cs="Gautami"/>
          <w:sz w:val="24"/>
          <w:szCs w:val="24"/>
          <w:lang w:val="fr-FR"/>
        </w:rPr>
        <w:t>n avril 2012, les membres de l’APB on reçu e</w:t>
      </w:r>
      <w:r w:rsidR="00DC1C59">
        <w:rPr>
          <w:rFonts w:ascii="Gautami" w:hAnsi="Gautami" w:cs="Gautami"/>
          <w:sz w:val="24"/>
          <w:szCs w:val="24"/>
          <w:lang w:val="fr-FR"/>
        </w:rPr>
        <w:t>n</w:t>
      </w:r>
      <w:r>
        <w:rPr>
          <w:rFonts w:ascii="Gautami" w:hAnsi="Gautami" w:cs="Gautami"/>
          <w:sz w:val="24"/>
          <w:szCs w:val="24"/>
          <w:lang w:val="fr-FR"/>
        </w:rPr>
        <w:t xml:space="preserve"> audience une mission fournissant des consultations au Ministère de l’Economie et des Finances dont les termes de référence consistent à</w:t>
      </w:r>
    </w:p>
    <w:p w:rsidR="00B83D1C" w:rsidRDefault="00B83D1C" w:rsidP="000531D6">
      <w:pPr>
        <w:pStyle w:val="NoSpacing"/>
        <w:jc w:val="both"/>
        <w:rPr>
          <w:rFonts w:ascii="Gautami" w:hAnsi="Gautami" w:cs="Gautami"/>
          <w:sz w:val="24"/>
          <w:szCs w:val="24"/>
          <w:lang w:val="fr-FR"/>
        </w:rPr>
      </w:pPr>
    </w:p>
    <w:p w:rsidR="00B83D1C" w:rsidRDefault="003F7D74" w:rsidP="003F7D74">
      <w:pPr>
        <w:pStyle w:val="NoSpacing"/>
        <w:numPr>
          <w:ilvl w:val="0"/>
          <w:numId w:val="7"/>
        </w:numPr>
        <w:jc w:val="both"/>
        <w:rPr>
          <w:rFonts w:ascii="Gautami" w:hAnsi="Gautami" w:cs="Gautami"/>
          <w:sz w:val="24"/>
          <w:szCs w:val="24"/>
          <w:lang w:val="fr-FR"/>
        </w:rPr>
      </w:pPr>
      <w:r>
        <w:rPr>
          <w:rFonts w:ascii="Gautami" w:hAnsi="Gautami" w:cs="Gautami"/>
          <w:sz w:val="24"/>
          <w:szCs w:val="24"/>
          <w:lang w:val="fr-FR"/>
        </w:rPr>
        <w:t>é</w:t>
      </w:r>
      <w:r w:rsidR="00B83D1C">
        <w:rPr>
          <w:rFonts w:ascii="Gautami" w:hAnsi="Gautami" w:cs="Gautami"/>
          <w:sz w:val="24"/>
          <w:szCs w:val="24"/>
          <w:lang w:val="fr-FR"/>
        </w:rPr>
        <w:t>clairer les autorités quant au devenir du système de retraite en Haïti conduisant à l’a</w:t>
      </w:r>
      <w:r w:rsidR="00825187">
        <w:rPr>
          <w:rFonts w:ascii="Gautami" w:hAnsi="Gautami" w:cs="Gautami"/>
          <w:sz w:val="24"/>
          <w:szCs w:val="24"/>
          <w:lang w:val="fr-FR"/>
        </w:rPr>
        <w:t>d</w:t>
      </w:r>
      <w:r w:rsidR="00B83D1C">
        <w:rPr>
          <w:rFonts w:ascii="Gautami" w:hAnsi="Gautami" w:cs="Gautami"/>
          <w:sz w:val="24"/>
          <w:szCs w:val="24"/>
          <w:lang w:val="fr-FR"/>
        </w:rPr>
        <w:t>option d’un régime universel ou au maintien de la séparation entre régimes public et privé</w:t>
      </w:r>
    </w:p>
    <w:p w:rsidR="00B83D1C" w:rsidRDefault="003F7D74" w:rsidP="003F7D74">
      <w:pPr>
        <w:pStyle w:val="NoSpacing"/>
        <w:numPr>
          <w:ilvl w:val="0"/>
          <w:numId w:val="7"/>
        </w:numPr>
        <w:jc w:val="both"/>
        <w:rPr>
          <w:rFonts w:ascii="Gautami" w:hAnsi="Gautami" w:cs="Gautami"/>
          <w:sz w:val="24"/>
          <w:szCs w:val="24"/>
          <w:lang w:val="fr-FR"/>
        </w:rPr>
      </w:pPr>
      <w:r>
        <w:rPr>
          <w:rFonts w:ascii="Gautami" w:hAnsi="Gautami" w:cs="Gautami"/>
          <w:sz w:val="24"/>
          <w:szCs w:val="24"/>
          <w:lang w:val="fr-FR"/>
        </w:rPr>
        <w:t>d</w:t>
      </w:r>
      <w:r w:rsidR="00B83D1C">
        <w:rPr>
          <w:rFonts w:ascii="Gautami" w:hAnsi="Gautami" w:cs="Gautami"/>
          <w:sz w:val="24"/>
          <w:szCs w:val="24"/>
          <w:lang w:val="fr-FR"/>
        </w:rPr>
        <w:t xml:space="preserve">éfinir le cadre de supervision du secteur </w:t>
      </w:r>
    </w:p>
    <w:p w:rsidR="00B83D1C" w:rsidRPr="003F7D74" w:rsidRDefault="00B83D1C" w:rsidP="003F7D74">
      <w:pPr>
        <w:pStyle w:val="NoSpacing"/>
        <w:numPr>
          <w:ilvl w:val="0"/>
          <w:numId w:val="7"/>
        </w:numPr>
        <w:jc w:val="both"/>
        <w:rPr>
          <w:rFonts w:ascii="Sylfaen" w:eastAsia="MS Mincho" w:hAnsi="Sylfaen" w:cs="Arial"/>
          <w:lang w:val="fr-FR"/>
        </w:rPr>
      </w:pPr>
      <w:r>
        <w:rPr>
          <w:rFonts w:ascii="Gautami" w:hAnsi="Gautami" w:cs="Gautami"/>
          <w:sz w:val="24"/>
          <w:szCs w:val="24"/>
          <w:lang w:val="fr-FR"/>
        </w:rPr>
        <w:t xml:space="preserve">Mener une étude </w:t>
      </w:r>
      <w:r w:rsidR="003F7D74">
        <w:rPr>
          <w:rFonts w:ascii="Gautami" w:hAnsi="Gautami" w:cs="Gautami"/>
          <w:sz w:val="24"/>
          <w:szCs w:val="24"/>
          <w:lang w:val="fr-FR"/>
        </w:rPr>
        <w:t>actuarielle du secteur des retrait</w:t>
      </w:r>
      <w:r w:rsidR="00201F8E">
        <w:rPr>
          <w:rFonts w:ascii="Gautami" w:hAnsi="Gautami" w:cs="Gautami"/>
          <w:sz w:val="24"/>
          <w:szCs w:val="24"/>
          <w:lang w:val="fr-FR"/>
        </w:rPr>
        <w:t>e</w:t>
      </w:r>
      <w:r w:rsidR="003F7D74">
        <w:rPr>
          <w:rFonts w:ascii="Gautami" w:hAnsi="Gautami" w:cs="Gautami"/>
          <w:sz w:val="24"/>
          <w:szCs w:val="24"/>
          <w:lang w:val="fr-FR"/>
        </w:rPr>
        <w:t>s</w:t>
      </w:r>
    </w:p>
    <w:p w:rsidR="003F7D74" w:rsidRDefault="003F7D74" w:rsidP="003F7D74">
      <w:pPr>
        <w:pStyle w:val="NoSpacing"/>
        <w:jc w:val="both"/>
        <w:rPr>
          <w:rFonts w:ascii="Gautami" w:hAnsi="Gautami" w:cs="Gautami"/>
          <w:sz w:val="24"/>
          <w:szCs w:val="24"/>
          <w:lang w:val="fr-FR"/>
        </w:rPr>
      </w:pPr>
    </w:p>
    <w:p w:rsidR="003F7D74" w:rsidRDefault="003F7D74" w:rsidP="003F7D74">
      <w:pPr>
        <w:pStyle w:val="NoSpacing"/>
        <w:jc w:val="both"/>
        <w:rPr>
          <w:rFonts w:ascii="Gautami" w:hAnsi="Gautami" w:cs="Gautami"/>
          <w:sz w:val="24"/>
          <w:szCs w:val="24"/>
          <w:lang w:val="fr-FR"/>
        </w:rPr>
      </w:pPr>
      <w:r>
        <w:rPr>
          <w:rFonts w:ascii="Gautami" w:hAnsi="Gautami" w:cs="Gautami"/>
          <w:sz w:val="24"/>
          <w:szCs w:val="24"/>
          <w:lang w:val="fr-FR"/>
        </w:rPr>
        <w:t>Les représentants de l’A</w:t>
      </w:r>
      <w:r w:rsidR="00201F8E">
        <w:rPr>
          <w:rFonts w:ascii="Gautami" w:hAnsi="Gautami" w:cs="Gautami"/>
          <w:sz w:val="24"/>
          <w:szCs w:val="24"/>
          <w:lang w:val="fr-FR"/>
        </w:rPr>
        <w:t>PB ont débattu</w:t>
      </w:r>
      <w:r>
        <w:rPr>
          <w:rFonts w:ascii="Gautami" w:hAnsi="Gautami" w:cs="Gautami"/>
          <w:sz w:val="24"/>
          <w:szCs w:val="24"/>
          <w:lang w:val="fr-FR"/>
        </w:rPr>
        <w:t xml:space="preserve"> avec la mission le cas de l’ONA et les problèmes rencontrés (Conseil d’Administration, états Financiers, placements effectués</w:t>
      </w:r>
      <w:r w:rsidR="009B0089">
        <w:rPr>
          <w:rFonts w:ascii="Gautami" w:hAnsi="Gautami" w:cs="Gautami"/>
          <w:sz w:val="24"/>
          <w:szCs w:val="24"/>
          <w:lang w:val="fr-FR"/>
        </w:rPr>
        <w:t>, l’importance ou le poids des cotisations prélevées) l’absence de législation sur les fonds de pension, la possibilité par le système bancaire d’instituer un fonds  de pension sectoriel à caractère de répartition, le placement des fonds des institutions de pension dans des emprunts étatiques devant financer les infrastructures et le développement économique. Les propositions faites par l’APB à la mission concernent l’envoi de signaux positifs, la stimulation de la compétition, l’instauration d’autres systèmes de retraite privé</w:t>
      </w:r>
      <w:r w:rsidR="00E74E3E">
        <w:rPr>
          <w:rFonts w:ascii="Gautami" w:hAnsi="Gautami" w:cs="Gautami"/>
          <w:sz w:val="24"/>
          <w:szCs w:val="24"/>
          <w:lang w:val="fr-FR"/>
        </w:rPr>
        <w:t>e</w:t>
      </w:r>
      <w:r w:rsidR="009B0089">
        <w:rPr>
          <w:rFonts w:ascii="Gautami" w:hAnsi="Gautami" w:cs="Gautami"/>
          <w:sz w:val="24"/>
          <w:szCs w:val="24"/>
          <w:lang w:val="fr-FR"/>
        </w:rPr>
        <w:t xml:space="preserve"> et la création d’</w:t>
      </w:r>
      <w:r w:rsidR="00BF1CBA">
        <w:rPr>
          <w:rFonts w:ascii="Gautami" w:hAnsi="Gautami" w:cs="Gautami"/>
          <w:sz w:val="24"/>
          <w:szCs w:val="24"/>
          <w:lang w:val="fr-FR"/>
        </w:rPr>
        <w:t>un Conseil mix</w:t>
      </w:r>
      <w:r w:rsidR="009B0089">
        <w:rPr>
          <w:rFonts w:ascii="Gautami" w:hAnsi="Gautami" w:cs="Gautami"/>
          <w:sz w:val="24"/>
          <w:szCs w:val="24"/>
          <w:lang w:val="fr-FR"/>
        </w:rPr>
        <w:t>te de supervision des assurances.</w:t>
      </w:r>
    </w:p>
    <w:p w:rsidR="006B4B52" w:rsidRDefault="00C358E8" w:rsidP="00C358E8">
      <w:pPr>
        <w:pStyle w:val="NoSpacing"/>
        <w:jc w:val="center"/>
        <w:rPr>
          <w:rFonts w:ascii="Gautami" w:hAnsi="Gautami" w:cs="Gautami"/>
          <w:sz w:val="24"/>
          <w:szCs w:val="24"/>
          <w:lang w:val="fr-FR"/>
        </w:rPr>
      </w:pPr>
      <w:r>
        <w:rPr>
          <w:rFonts w:ascii="Gautami" w:hAnsi="Gautami" w:cs="Gautami"/>
          <w:sz w:val="24"/>
          <w:szCs w:val="24"/>
          <w:lang w:val="fr-FR"/>
        </w:rPr>
        <w:lastRenderedPageBreak/>
        <w:t>-5-</w:t>
      </w:r>
    </w:p>
    <w:p w:rsidR="00C358E8" w:rsidRDefault="00C358E8" w:rsidP="003F7D74">
      <w:pPr>
        <w:pStyle w:val="NoSpacing"/>
        <w:jc w:val="both"/>
        <w:rPr>
          <w:rFonts w:ascii="Gautami" w:hAnsi="Gautami" w:cs="Gautami"/>
          <w:sz w:val="24"/>
          <w:szCs w:val="24"/>
          <w:lang w:val="fr-FR"/>
        </w:rPr>
      </w:pPr>
    </w:p>
    <w:p w:rsidR="00C358E8" w:rsidRDefault="00C358E8" w:rsidP="003F7D74">
      <w:pPr>
        <w:pStyle w:val="NoSpacing"/>
        <w:jc w:val="both"/>
        <w:rPr>
          <w:rFonts w:ascii="Gautami" w:hAnsi="Gautami" w:cs="Gautami"/>
          <w:sz w:val="24"/>
          <w:szCs w:val="24"/>
          <w:lang w:val="fr-FR"/>
        </w:rPr>
      </w:pPr>
    </w:p>
    <w:p w:rsidR="006B4B52" w:rsidRDefault="006B4B52" w:rsidP="003F7D74">
      <w:pPr>
        <w:pStyle w:val="NoSpacing"/>
        <w:jc w:val="both"/>
        <w:rPr>
          <w:rFonts w:ascii="Gautami" w:hAnsi="Gautami" w:cs="Gautami"/>
          <w:sz w:val="24"/>
          <w:szCs w:val="24"/>
          <w:lang w:val="fr-FR"/>
        </w:rPr>
      </w:pPr>
      <w:r>
        <w:rPr>
          <w:rFonts w:ascii="Gautami" w:hAnsi="Gautami" w:cs="Gautami"/>
          <w:sz w:val="24"/>
          <w:szCs w:val="24"/>
          <w:lang w:val="fr-FR"/>
        </w:rPr>
        <w:t>Deux missions de l’Inte</w:t>
      </w:r>
      <w:r w:rsidR="001D3DB1">
        <w:rPr>
          <w:rFonts w:ascii="Gautami" w:hAnsi="Gautami" w:cs="Gautami"/>
          <w:sz w:val="24"/>
          <w:szCs w:val="24"/>
          <w:lang w:val="fr-FR"/>
        </w:rPr>
        <w:t>r</w:t>
      </w:r>
      <w:r>
        <w:rPr>
          <w:rFonts w:ascii="Gautami" w:hAnsi="Gautami" w:cs="Gautami"/>
          <w:sz w:val="24"/>
          <w:szCs w:val="24"/>
          <w:lang w:val="fr-FR"/>
        </w:rPr>
        <w:t>national Finance Corporation (IFC) ont eu des séances de travail avec les membres  de l’APB</w:t>
      </w:r>
      <w:r w:rsidR="001D3DB1">
        <w:rPr>
          <w:rFonts w:ascii="Gautami" w:hAnsi="Gautami" w:cs="Gautami"/>
          <w:sz w:val="24"/>
          <w:szCs w:val="24"/>
          <w:lang w:val="fr-FR"/>
        </w:rPr>
        <w:t>.  La première mission a travaillé sur le crédit bail en mettant l’accès sur la révision de l’actuelle loi dans le but d’apporter de nouveaux éléments pouvant incite</w:t>
      </w:r>
      <w:r w:rsidR="00325725">
        <w:rPr>
          <w:rFonts w:ascii="Gautami" w:hAnsi="Gautami" w:cs="Gautami"/>
          <w:sz w:val="24"/>
          <w:szCs w:val="24"/>
          <w:lang w:val="fr-FR"/>
        </w:rPr>
        <w:t>r</w:t>
      </w:r>
      <w:r w:rsidR="001D3DB1">
        <w:rPr>
          <w:rFonts w:ascii="Gautami" w:hAnsi="Gautami" w:cs="Gautami"/>
          <w:sz w:val="24"/>
          <w:szCs w:val="24"/>
          <w:lang w:val="fr-FR"/>
        </w:rPr>
        <w:t xml:space="preserve"> davantage les institutions financières à prendre en garantie des biens gagés.  La seconde mission a exploré avec les représentants de l’APB les possibilités d’une assistance technique aux banques dans l’aspect opérationnel d’un Bureau de Crédit notamment la collecte des données, le Crédit report, l’accès aux informations, la formation des opérateurs.</w:t>
      </w:r>
    </w:p>
    <w:p w:rsidR="00451C4D" w:rsidRDefault="00451C4D" w:rsidP="003F7D74">
      <w:pPr>
        <w:pStyle w:val="NoSpacing"/>
        <w:jc w:val="both"/>
        <w:rPr>
          <w:rFonts w:ascii="Gautami" w:hAnsi="Gautami" w:cs="Gautami"/>
          <w:sz w:val="24"/>
          <w:szCs w:val="24"/>
          <w:lang w:val="fr-FR"/>
        </w:rPr>
      </w:pPr>
    </w:p>
    <w:p w:rsidR="00451C4D" w:rsidRDefault="00451C4D" w:rsidP="003F7D74">
      <w:pPr>
        <w:pStyle w:val="NoSpacing"/>
        <w:jc w:val="both"/>
        <w:rPr>
          <w:rFonts w:ascii="Gautami" w:hAnsi="Gautami" w:cs="Gautami"/>
          <w:sz w:val="24"/>
          <w:szCs w:val="24"/>
          <w:lang w:val="fr-FR"/>
        </w:rPr>
      </w:pPr>
      <w:r>
        <w:rPr>
          <w:rFonts w:ascii="Gautami" w:hAnsi="Gautami" w:cs="Gautami"/>
          <w:sz w:val="24"/>
          <w:szCs w:val="24"/>
          <w:lang w:val="fr-FR"/>
        </w:rPr>
        <w:t xml:space="preserve">L’ANINMH, l’Association Nationale des Institutions de Crédit a rencontré l’APB afin d’échanger des points de vue sur les perspectives de coopération entre </w:t>
      </w:r>
      <w:r w:rsidR="00325725">
        <w:rPr>
          <w:rFonts w:ascii="Gautami" w:hAnsi="Gautami" w:cs="Gautami"/>
          <w:sz w:val="24"/>
          <w:szCs w:val="24"/>
          <w:lang w:val="fr-FR"/>
        </w:rPr>
        <w:t>le</w:t>
      </w:r>
      <w:r>
        <w:rPr>
          <w:rFonts w:ascii="Gautami" w:hAnsi="Gautami" w:cs="Gautami"/>
          <w:sz w:val="24"/>
          <w:szCs w:val="24"/>
          <w:lang w:val="fr-FR"/>
        </w:rPr>
        <w:t>s deux institut</w:t>
      </w:r>
      <w:r w:rsidR="009F1B68">
        <w:rPr>
          <w:rFonts w:ascii="Gautami" w:hAnsi="Gautami" w:cs="Gautami"/>
          <w:sz w:val="24"/>
          <w:szCs w:val="24"/>
          <w:lang w:val="fr-FR"/>
        </w:rPr>
        <w:t>ions.   Une possibilité d’ouvri</w:t>
      </w:r>
      <w:r>
        <w:rPr>
          <w:rFonts w:ascii="Gautami" w:hAnsi="Gautami" w:cs="Gautami"/>
          <w:sz w:val="24"/>
          <w:szCs w:val="24"/>
          <w:lang w:val="fr-FR"/>
        </w:rPr>
        <w:t>r les cours de formation de l’APB aux membres de l’ANINMH a été discutée durant cette rencontre.</w:t>
      </w:r>
    </w:p>
    <w:p w:rsidR="00451C4D" w:rsidRDefault="00451C4D" w:rsidP="003F7D74">
      <w:pPr>
        <w:pStyle w:val="NoSpacing"/>
        <w:jc w:val="both"/>
        <w:rPr>
          <w:rFonts w:ascii="Gautami" w:hAnsi="Gautami" w:cs="Gautami"/>
          <w:sz w:val="24"/>
          <w:szCs w:val="24"/>
          <w:lang w:val="fr-FR"/>
        </w:rPr>
      </w:pPr>
    </w:p>
    <w:p w:rsidR="00451C4D" w:rsidRDefault="00451C4D" w:rsidP="003F7D74">
      <w:pPr>
        <w:pStyle w:val="NoSpacing"/>
        <w:jc w:val="both"/>
        <w:rPr>
          <w:rFonts w:ascii="Gautami" w:hAnsi="Gautami" w:cs="Gautami"/>
          <w:sz w:val="24"/>
          <w:szCs w:val="24"/>
          <w:lang w:val="fr-FR"/>
        </w:rPr>
      </w:pPr>
      <w:r>
        <w:rPr>
          <w:rFonts w:ascii="Gautami" w:hAnsi="Gautami" w:cs="Gautami"/>
          <w:sz w:val="24"/>
          <w:szCs w:val="24"/>
          <w:lang w:val="fr-FR"/>
        </w:rPr>
        <w:t>L’</w:t>
      </w:r>
      <w:proofErr w:type="spellStart"/>
      <w:r>
        <w:rPr>
          <w:rFonts w:ascii="Gautami" w:hAnsi="Gautami" w:cs="Gautami"/>
          <w:sz w:val="24"/>
          <w:szCs w:val="24"/>
          <w:lang w:val="fr-FR"/>
        </w:rPr>
        <w:t>Ucref</w:t>
      </w:r>
      <w:proofErr w:type="spellEnd"/>
      <w:r>
        <w:rPr>
          <w:rFonts w:ascii="Gautami" w:hAnsi="Gautami" w:cs="Gautami"/>
          <w:sz w:val="24"/>
          <w:szCs w:val="24"/>
          <w:lang w:val="fr-FR"/>
        </w:rPr>
        <w:t xml:space="preserve"> a invité les représentants de l’APB en charge des projets informatiques à plusieurs séances de travail pour les familiariser avec l’application de nouveaux logiciels installés.  Dans le cadre de cette activité, l’</w:t>
      </w:r>
      <w:proofErr w:type="spellStart"/>
      <w:r>
        <w:rPr>
          <w:rFonts w:ascii="Gautami" w:hAnsi="Gautami" w:cs="Gautami"/>
          <w:sz w:val="24"/>
          <w:szCs w:val="24"/>
          <w:lang w:val="fr-FR"/>
        </w:rPr>
        <w:t>Ucref</w:t>
      </w:r>
      <w:proofErr w:type="spellEnd"/>
      <w:r>
        <w:rPr>
          <w:rFonts w:ascii="Gautami" w:hAnsi="Gautami" w:cs="Gautami"/>
          <w:sz w:val="24"/>
          <w:szCs w:val="24"/>
          <w:lang w:val="fr-FR"/>
        </w:rPr>
        <w:t xml:space="preserve"> a élaboré un protocole d’accord et des règles de conduite</w:t>
      </w:r>
      <w:r w:rsidR="00A055C7">
        <w:rPr>
          <w:rFonts w:ascii="Gautami" w:hAnsi="Gautami" w:cs="Gautami"/>
          <w:sz w:val="24"/>
          <w:szCs w:val="24"/>
          <w:lang w:val="fr-FR"/>
        </w:rPr>
        <w:t xml:space="preserve"> qui doivent être signés par les institutions partenaires au programme et appelées à utiliser le logiciel </w:t>
      </w:r>
      <w:proofErr w:type="spellStart"/>
      <w:r w:rsidR="00A055C7">
        <w:rPr>
          <w:rFonts w:ascii="Gautami" w:hAnsi="Gautami" w:cs="Gautami"/>
          <w:sz w:val="24"/>
          <w:szCs w:val="24"/>
          <w:lang w:val="fr-FR"/>
        </w:rPr>
        <w:t>Ucref</w:t>
      </w:r>
      <w:proofErr w:type="spellEnd"/>
      <w:r w:rsidR="00A055C7">
        <w:rPr>
          <w:rFonts w:ascii="Gautami" w:hAnsi="Gautami" w:cs="Gautami"/>
          <w:sz w:val="24"/>
          <w:szCs w:val="24"/>
          <w:lang w:val="fr-FR"/>
        </w:rPr>
        <w:t>-AML.</w:t>
      </w:r>
    </w:p>
    <w:p w:rsidR="00A055C7" w:rsidRDefault="00A055C7" w:rsidP="003F7D74">
      <w:pPr>
        <w:pStyle w:val="NoSpacing"/>
        <w:jc w:val="both"/>
        <w:rPr>
          <w:rFonts w:ascii="Gautami" w:hAnsi="Gautami" w:cs="Gautami"/>
          <w:sz w:val="24"/>
          <w:szCs w:val="24"/>
          <w:lang w:val="fr-FR"/>
        </w:rPr>
      </w:pPr>
    </w:p>
    <w:p w:rsidR="00A055C7" w:rsidRPr="004E392B" w:rsidRDefault="00A055C7" w:rsidP="003F7D74">
      <w:pPr>
        <w:pStyle w:val="NoSpacing"/>
        <w:jc w:val="both"/>
        <w:rPr>
          <w:rFonts w:ascii="Gautami" w:hAnsi="Gautami" w:cs="Gautami"/>
          <w:b/>
          <w:sz w:val="24"/>
          <w:szCs w:val="24"/>
          <w:u w:val="single"/>
          <w:lang w:val="fr-FR"/>
        </w:rPr>
      </w:pPr>
      <w:r w:rsidRPr="004E392B">
        <w:rPr>
          <w:rFonts w:ascii="Gautami" w:hAnsi="Gautami" w:cs="Gautami"/>
          <w:b/>
          <w:sz w:val="24"/>
          <w:szCs w:val="24"/>
          <w:u w:val="single"/>
          <w:lang w:val="fr-FR"/>
        </w:rPr>
        <w:t>Travaux du Comité de Conformité</w:t>
      </w:r>
    </w:p>
    <w:p w:rsidR="00A055C7" w:rsidRDefault="00A055C7" w:rsidP="003F7D74">
      <w:pPr>
        <w:pStyle w:val="NoSpacing"/>
        <w:jc w:val="both"/>
        <w:rPr>
          <w:rFonts w:ascii="Gautami" w:hAnsi="Gautami" w:cs="Gautami"/>
          <w:sz w:val="24"/>
          <w:szCs w:val="24"/>
          <w:lang w:val="fr-FR"/>
        </w:rPr>
      </w:pPr>
    </w:p>
    <w:p w:rsidR="00A055C7" w:rsidRDefault="00A055C7" w:rsidP="003F7D74">
      <w:pPr>
        <w:pStyle w:val="NoSpacing"/>
        <w:jc w:val="both"/>
        <w:rPr>
          <w:rFonts w:ascii="Gautami" w:hAnsi="Gautami" w:cs="Gautami"/>
          <w:sz w:val="24"/>
          <w:szCs w:val="24"/>
          <w:lang w:val="fr-FR"/>
        </w:rPr>
      </w:pPr>
      <w:r>
        <w:rPr>
          <w:rFonts w:ascii="Gautami" w:hAnsi="Gautami" w:cs="Gautami"/>
          <w:sz w:val="24"/>
          <w:szCs w:val="24"/>
          <w:lang w:val="fr-FR"/>
        </w:rPr>
        <w:t>En m</w:t>
      </w:r>
      <w:r w:rsidR="001A12C9">
        <w:rPr>
          <w:rFonts w:ascii="Gautami" w:hAnsi="Gautami" w:cs="Gautami"/>
          <w:sz w:val="24"/>
          <w:szCs w:val="24"/>
          <w:lang w:val="fr-FR"/>
        </w:rPr>
        <w:t>a</w:t>
      </w:r>
      <w:r>
        <w:rPr>
          <w:rFonts w:ascii="Gautami" w:hAnsi="Gautami" w:cs="Gautami"/>
          <w:sz w:val="24"/>
          <w:szCs w:val="24"/>
          <w:lang w:val="fr-FR"/>
        </w:rPr>
        <w:t>i 2012, les officiers de conformité ont créé au sein de l’APB un comité ayant pour objectifs de rassembler périodiquement la corporation afin d’échanger des idées et de partager des informations, de constituer un corps national regroupant les secteurs bancaires et assurance, d’uniformiser l’approche réglementaire sur des questions touchant l’intérêt national notamment le blanchiment d’argent, de dialoguer avec les autorités de tutelle, de nouer des contacts avec des comité</w:t>
      </w:r>
      <w:r w:rsidR="00081AE6">
        <w:rPr>
          <w:rFonts w:ascii="Gautami" w:hAnsi="Gautami" w:cs="Gautami"/>
          <w:sz w:val="24"/>
          <w:szCs w:val="24"/>
          <w:lang w:val="fr-FR"/>
        </w:rPr>
        <w:t>s</w:t>
      </w:r>
      <w:r>
        <w:rPr>
          <w:rFonts w:ascii="Gautami" w:hAnsi="Gautami" w:cs="Gautami"/>
          <w:sz w:val="24"/>
          <w:szCs w:val="24"/>
          <w:lang w:val="fr-FR"/>
        </w:rPr>
        <w:t xml:space="preserve"> ou associatio</w:t>
      </w:r>
      <w:r w:rsidR="00081AE6">
        <w:rPr>
          <w:rFonts w:ascii="Gautami" w:hAnsi="Gautami" w:cs="Gautami"/>
          <w:sz w:val="24"/>
          <w:szCs w:val="24"/>
          <w:lang w:val="fr-FR"/>
        </w:rPr>
        <w:t>ns ayant un objet analogue et de rechercher les nouveaux développements dans le domaine de la conformité.  A ces objectifs ont été ajoutés le développement d’une typologie, la fortification des institutions en matière de conformité, l’expérience bancaire autour des normes du GAFI et l’éducation de la clientèle dans le domaine de la conformité.</w:t>
      </w:r>
    </w:p>
    <w:p w:rsidR="00C53823" w:rsidRDefault="00C53823" w:rsidP="003F7D74">
      <w:pPr>
        <w:pStyle w:val="NoSpacing"/>
        <w:jc w:val="both"/>
        <w:rPr>
          <w:rFonts w:ascii="Gautami" w:hAnsi="Gautami" w:cs="Gautami"/>
          <w:sz w:val="24"/>
          <w:szCs w:val="24"/>
          <w:lang w:val="fr-FR"/>
        </w:rPr>
      </w:pPr>
    </w:p>
    <w:p w:rsidR="00C53823" w:rsidRPr="004E392B" w:rsidRDefault="00C53823" w:rsidP="003F7D74">
      <w:pPr>
        <w:pStyle w:val="NoSpacing"/>
        <w:jc w:val="both"/>
        <w:rPr>
          <w:rFonts w:ascii="Gautami" w:hAnsi="Gautami" w:cs="Gautami"/>
          <w:b/>
          <w:sz w:val="24"/>
          <w:szCs w:val="24"/>
          <w:u w:val="single"/>
          <w:lang w:val="fr-FR"/>
        </w:rPr>
      </w:pPr>
      <w:r w:rsidRPr="004E392B">
        <w:rPr>
          <w:rFonts w:ascii="Gautami" w:hAnsi="Gautami" w:cs="Gautami"/>
          <w:b/>
          <w:sz w:val="24"/>
          <w:szCs w:val="24"/>
          <w:u w:val="single"/>
          <w:lang w:val="fr-FR"/>
        </w:rPr>
        <w:t>Les travaux du Comité de Crédit</w:t>
      </w:r>
    </w:p>
    <w:p w:rsidR="00C53823" w:rsidRDefault="00C53823" w:rsidP="003F7D74">
      <w:pPr>
        <w:pStyle w:val="NoSpacing"/>
        <w:jc w:val="both"/>
        <w:rPr>
          <w:rFonts w:ascii="Gautami" w:hAnsi="Gautami" w:cs="Gautami"/>
          <w:sz w:val="24"/>
          <w:szCs w:val="24"/>
          <w:lang w:val="fr-FR"/>
        </w:rPr>
      </w:pPr>
    </w:p>
    <w:p w:rsidR="00C53823" w:rsidRDefault="00C53823" w:rsidP="003F7D74">
      <w:pPr>
        <w:pStyle w:val="NoSpacing"/>
        <w:jc w:val="both"/>
        <w:rPr>
          <w:rFonts w:ascii="Gautami" w:hAnsi="Gautami" w:cs="Gautami"/>
          <w:sz w:val="24"/>
          <w:szCs w:val="24"/>
          <w:lang w:val="fr-FR"/>
        </w:rPr>
      </w:pPr>
      <w:r>
        <w:rPr>
          <w:rFonts w:ascii="Gautami" w:hAnsi="Gautami" w:cs="Gautami"/>
          <w:sz w:val="24"/>
          <w:szCs w:val="24"/>
          <w:lang w:val="fr-FR"/>
        </w:rPr>
        <w:t>En septembre 2012, les Directeurs des départements de crédit se sont réunis pour faire le point sur l’évolution du crédit à l’économie, rechercher  les contraintes liées à la distribution du crédit</w:t>
      </w:r>
      <w:r w:rsidR="009C1331">
        <w:rPr>
          <w:rFonts w:ascii="Gautami" w:hAnsi="Gautami" w:cs="Gautami"/>
          <w:sz w:val="24"/>
          <w:szCs w:val="24"/>
          <w:lang w:val="fr-FR"/>
        </w:rPr>
        <w:t xml:space="preserve">, </w:t>
      </w:r>
      <w:r>
        <w:rPr>
          <w:rFonts w:ascii="Gautami" w:hAnsi="Gautami" w:cs="Gautami"/>
          <w:sz w:val="24"/>
          <w:szCs w:val="24"/>
          <w:lang w:val="fr-FR"/>
        </w:rPr>
        <w:t>faire des recommandations et proposer des initiatives susceptibles de donner un boo</w:t>
      </w:r>
      <w:r w:rsidR="007662A9">
        <w:rPr>
          <w:rFonts w:ascii="Gautami" w:hAnsi="Gautami" w:cs="Gautami"/>
          <w:sz w:val="24"/>
          <w:szCs w:val="24"/>
          <w:lang w:val="fr-FR"/>
        </w:rPr>
        <w:t>ster au crédit bancaire.</w:t>
      </w:r>
    </w:p>
    <w:p w:rsidR="00C358E8" w:rsidRDefault="00C358E8" w:rsidP="003F7D74">
      <w:pPr>
        <w:pStyle w:val="NoSpacing"/>
        <w:jc w:val="both"/>
        <w:rPr>
          <w:rFonts w:ascii="Gautami" w:hAnsi="Gautami" w:cs="Gautami"/>
          <w:sz w:val="24"/>
          <w:szCs w:val="24"/>
          <w:lang w:val="fr-FR"/>
        </w:rPr>
      </w:pPr>
    </w:p>
    <w:p w:rsidR="00C358E8" w:rsidRDefault="00C358E8" w:rsidP="003F7D74">
      <w:pPr>
        <w:pStyle w:val="NoSpacing"/>
        <w:jc w:val="both"/>
        <w:rPr>
          <w:rFonts w:ascii="Gautami" w:hAnsi="Gautami" w:cs="Gautami"/>
          <w:sz w:val="24"/>
          <w:szCs w:val="24"/>
          <w:lang w:val="fr-FR"/>
        </w:rPr>
      </w:pPr>
    </w:p>
    <w:p w:rsidR="00C358E8" w:rsidRDefault="00C358E8" w:rsidP="003F7D74">
      <w:pPr>
        <w:pStyle w:val="NoSpacing"/>
        <w:jc w:val="both"/>
        <w:rPr>
          <w:rFonts w:ascii="Gautami" w:hAnsi="Gautami" w:cs="Gautami"/>
          <w:sz w:val="24"/>
          <w:szCs w:val="24"/>
          <w:lang w:val="fr-FR"/>
        </w:rPr>
      </w:pPr>
    </w:p>
    <w:p w:rsidR="00C358E8" w:rsidRDefault="00C358E8" w:rsidP="003F7D74">
      <w:pPr>
        <w:pStyle w:val="NoSpacing"/>
        <w:jc w:val="both"/>
        <w:rPr>
          <w:rFonts w:ascii="Gautami" w:hAnsi="Gautami" w:cs="Gautami"/>
          <w:sz w:val="24"/>
          <w:szCs w:val="24"/>
          <w:lang w:val="fr-FR"/>
        </w:rPr>
      </w:pPr>
    </w:p>
    <w:p w:rsidR="00C358E8" w:rsidRDefault="00C358E8" w:rsidP="00C358E8">
      <w:pPr>
        <w:pStyle w:val="NoSpacing"/>
        <w:jc w:val="center"/>
        <w:rPr>
          <w:rFonts w:ascii="Arial" w:hAnsi="Arial" w:cs="Arial"/>
          <w:sz w:val="24"/>
          <w:szCs w:val="24"/>
          <w:lang w:val="fr-FR"/>
        </w:rPr>
      </w:pPr>
      <w:r>
        <w:rPr>
          <w:rFonts w:ascii="Arial" w:hAnsi="Arial" w:cs="Arial"/>
          <w:sz w:val="24"/>
          <w:szCs w:val="24"/>
          <w:lang w:val="fr-FR"/>
        </w:rPr>
        <w:lastRenderedPageBreak/>
        <w:t>-6-</w:t>
      </w:r>
    </w:p>
    <w:p w:rsidR="00CB2C9F" w:rsidRDefault="00CB2C9F" w:rsidP="00C358E8">
      <w:pPr>
        <w:pStyle w:val="NoSpacing"/>
        <w:jc w:val="center"/>
        <w:rPr>
          <w:rFonts w:ascii="Arial" w:hAnsi="Arial" w:cs="Arial"/>
          <w:sz w:val="24"/>
          <w:szCs w:val="24"/>
          <w:lang w:val="fr-FR"/>
        </w:rPr>
      </w:pPr>
    </w:p>
    <w:p w:rsidR="00CB2C9F" w:rsidRDefault="00CB2C9F" w:rsidP="00CB2C9F">
      <w:pPr>
        <w:pStyle w:val="NoSpacing"/>
        <w:jc w:val="both"/>
        <w:rPr>
          <w:rFonts w:ascii="Arial" w:hAnsi="Arial" w:cs="Arial"/>
          <w:sz w:val="24"/>
          <w:szCs w:val="24"/>
          <w:lang w:val="fr-FR"/>
        </w:rPr>
      </w:pPr>
      <w:r>
        <w:rPr>
          <w:rFonts w:ascii="Arial" w:hAnsi="Arial" w:cs="Arial"/>
          <w:sz w:val="24"/>
          <w:szCs w:val="24"/>
          <w:lang w:val="fr-FR"/>
        </w:rPr>
        <w:t>Les Directeurs des départements de crédit ont listé les contraintes rencontrées dans l’octroi et le traitement des dossiers de crédit.</w:t>
      </w:r>
    </w:p>
    <w:p w:rsidR="00CB2C9F" w:rsidRDefault="00CB2C9F" w:rsidP="00CB2C9F">
      <w:pPr>
        <w:pStyle w:val="NoSpacing"/>
        <w:jc w:val="both"/>
        <w:rPr>
          <w:rFonts w:ascii="Arial" w:hAnsi="Arial" w:cs="Arial"/>
          <w:sz w:val="24"/>
          <w:szCs w:val="24"/>
          <w:lang w:val="fr-FR"/>
        </w:rPr>
      </w:pPr>
    </w:p>
    <w:p w:rsidR="00CB2C9F" w:rsidRDefault="00CB2C9F" w:rsidP="00AA7C91">
      <w:pPr>
        <w:pStyle w:val="NoSpacing"/>
        <w:numPr>
          <w:ilvl w:val="0"/>
          <w:numId w:val="8"/>
        </w:numPr>
        <w:jc w:val="both"/>
        <w:rPr>
          <w:rFonts w:ascii="Arial" w:hAnsi="Arial" w:cs="Arial"/>
          <w:sz w:val="24"/>
          <w:szCs w:val="24"/>
          <w:lang w:val="fr-FR"/>
        </w:rPr>
      </w:pPr>
      <w:r>
        <w:rPr>
          <w:rFonts w:ascii="Arial" w:hAnsi="Arial" w:cs="Arial"/>
          <w:sz w:val="24"/>
          <w:szCs w:val="24"/>
          <w:lang w:val="fr-FR"/>
        </w:rPr>
        <w:t>Les failles organisationnelles des entreprises opérant en Haïti,</w:t>
      </w:r>
      <w:r w:rsidR="00AA7C91">
        <w:rPr>
          <w:rFonts w:ascii="Arial" w:hAnsi="Arial" w:cs="Arial"/>
          <w:sz w:val="24"/>
          <w:szCs w:val="24"/>
          <w:lang w:val="fr-FR"/>
        </w:rPr>
        <w:t xml:space="preserve"> leur structure, l’absence de plans d’affaires et les difficultés d’accès aux informations renseignant sur la situation financière des clients</w:t>
      </w:r>
    </w:p>
    <w:p w:rsidR="00AA7C91" w:rsidRDefault="00AA7C91" w:rsidP="00AA7C91">
      <w:pPr>
        <w:pStyle w:val="NoSpacing"/>
        <w:numPr>
          <w:ilvl w:val="0"/>
          <w:numId w:val="8"/>
        </w:numPr>
        <w:jc w:val="both"/>
        <w:rPr>
          <w:rFonts w:ascii="Arial" w:hAnsi="Arial" w:cs="Arial"/>
          <w:sz w:val="24"/>
          <w:szCs w:val="24"/>
          <w:lang w:val="fr-FR"/>
        </w:rPr>
      </w:pPr>
      <w:r>
        <w:rPr>
          <w:rFonts w:ascii="Arial" w:hAnsi="Arial" w:cs="Arial"/>
          <w:sz w:val="24"/>
          <w:szCs w:val="24"/>
          <w:lang w:val="fr-FR"/>
        </w:rPr>
        <w:t>Les normes prudentielles, les pratiques fiscales</w:t>
      </w:r>
    </w:p>
    <w:p w:rsidR="00AA7C91" w:rsidRDefault="00AA7C91" w:rsidP="00AA7C91">
      <w:pPr>
        <w:pStyle w:val="NoSpacing"/>
        <w:numPr>
          <w:ilvl w:val="0"/>
          <w:numId w:val="8"/>
        </w:numPr>
        <w:jc w:val="both"/>
        <w:rPr>
          <w:rFonts w:ascii="Arial" w:hAnsi="Arial" w:cs="Arial"/>
          <w:sz w:val="24"/>
          <w:szCs w:val="24"/>
          <w:lang w:val="fr-FR"/>
        </w:rPr>
      </w:pPr>
      <w:r>
        <w:rPr>
          <w:rFonts w:ascii="Arial" w:hAnsi="Arial" w:cs="Arial"/>
          <w:sz w:val="24"/>
          <w:szCs w:val="24"/>
          <w:lang w:val="fr-FR"/>
        </w:rPr>
        <w:t>L’identification des clients et la vérification des titres de propriété</w:t>
      </w:r>
    </w:p>
    <w:p w:rsidR="00AA7C91" w:rsidRPr="00C358E8" w:rsidRDefault="00AA7C91" w:rsidP="00AA7C91">
      <w:pPr>
        <w:pStyle w:val="NoSpacing"/>
        <w:numPr>
          <w:ilvl w:val="0"/>
          <w:numId w:val="8"/>
        </w:numPr>
        <w:jc w:val="both"/>
        <w:rPr>
          <w:rFonts w:ascii="Arial" w:hAnsi="Arial" w:cs="Arial"/>
          <w:sz w:val="24"/>
          <w:szCs w:val="24"/>
          <w:lang w:val="fr-FR"/>
        </w:rPr>
      </w:pPr>
      <w:r>
        <w:rPr>
          <w:rFonts w:ascii="Arial" w:hAnsi="Arial" w:cs="Arial"/>
          <w:sz w:val="24"/>
          <w:szCs w:val="24"/>
          <w:lang w:val="fr-FR"/>
        </w:rPr>
        <w:t>Les taux d’intérêt, les contrats d’assurance</w:t>
      </w:r>
    </w:p>
    <w:p w:rsidR="00C358E8" w:rsidRDefault="00C358E8" w:rsidP="003F7D74">
      <w:pPr>
        <w:pStyle w:val="NoSpacing"/>
        <w:jc w:val="both"/>
        <w:rPr>
          <w:rFonts w:ascii="Gautami" w:hAnsi="Gautami" w:cs="Gautami"/>
          <w:sz w:val="24"/>
          <w:szCs w:val="24"/>
          <w:lang w:val="fr-FR"/>
        </w:rPr>
      </w:pPr>
    </w:p>
    <w:p w:rsidR="00C358E8" w:rsidRDefault="00AA7C91" w:rsidP="003F7D74">
      <w:pPr>
        <w:pStyle w:val="NoSpacing"/>
        <w:jc w:val="both"/>
        <w:rPr>
          <w:rFonts w:ascii="Gautami" w:hAnsi="Gautami" w:cs="Gautami"/>
          <w:sz w:val="24"/>
          <w:szCs w:val="24"/>
          <w:lang w:val="fr-FR"/>
        </w:rPr>
      </w:pPr>
      <w:r>
        <w:rPr>
          <w:rFonts w:ascii="Gautami" w:hAnsi="Gautami" w:cs="Gautami"/>
          <w:sz w:val="24"/>
          <w:szCs w:val="24"/>
          <w:lang w:val="fr-FR"/>
        </w:rPr>
        <w:t>Parmi les recommandations faites pour inciter la relance du crédit, il est important de signaler </w:t>
      </w:r>
      <w:proofErr w:type="gramStart"/>
      <w:r>
        <w:rPr>
          <w:rFonts w:ascii="Gautami" w:hAnsi="Gautami" w:cs="Gautami"/>
          <w:sz w:val="24"/>
          <w:szCs w:val="24"/>
          <w:lang w:val="fr-FR"/>
        </w:rPr>
        <w:t>:  la</w:t>
      </w:r>
      <w:proofErr w:type="gramEnd"/>
      <w:r>
        <w:rPr>
          <w:rFonts w:ascii="Gautami" w:hAnsi="Gautami" w:cs="Gautami"/>
          <w:sz w:val="24"/>
          <w:szCs w:val="24"/>
          <w:lang w:val="fr-FR"/>
        </w:rPr>
        <w:t xml:space="preserve"> création du Bureau de Crédit devant permettre un meilleur accès au crédit bancaire, le maintien du fond de garantie géré par le FDI avec ses deux piliers, un pour la reconstruction et l’autre intégrant les petites et moyennes entreprises.  La proposition de création d’un fonds immobilier pour combler le déficit de logement est l’idée originale</w:t>
      </w:r>
      <w:r w:rsidR="00FA0A97">
        <w:rPr>
          <w:rFonts w:ascii="Gautami" w:hAnsi="Gautami" w:cs="Gautami"/>
          <w:sz w:val="24"/>
          <w:szCs w:val="24"/>
          <w:lang w:val="fr-FR"/>
        </w:rPr>
        <w:t xml:space="preserve"> qu’il faut travailler et présenter aux membres de la corporation bancaire.</w:t>
      </w:r>
    </w:p>
    <w:p w:rsidR="00FA0A97" w:rsidRDefault="00FA0A97" w:rsidP="003F7D74">
      <w:pPr>
        <w:pStyle w:val="NoSpacing"/>
        <w:jc w:val="both"/>
        <w:rPr>
          <w:rFonts w:ascii="Gautami" w:hAnsi="Gautami" w:cs="Gautami"/>
          <w:sz w:val="24"/>
          <w:szCs w:val="24"/>
          <w:lang w:val="fr-FR"/>
        </w:rPr>
      </w:pPr>
    </w:p>
    <w:p w:rsidR="00FA0A97" w:rsidRPr="004E392B" w:rsidRDefault="00FA0A97" w:rsidP="003F7D74">
      <w:pPr>
        <w:pStyle w:val="NoSpacing"/>
        <w:jc w:val="both"/>
        <w:rPr>
          <w:rFonts w:ascii="Gautami" w:hAnsi="Gautami" w:cs="Gautami"/>
          <w:b/>
          <w:sz w:val="24"/>
          <w:szCs w:val="24"/>
          <w:u w:val="single"/>
          <w:lang w:val="fr-FR"/>
        </w:rPr>
      </w:pPr>
      <w:r w:rsidRPr="004E392B">
        <w:rPr>
          <w:rFonts w:ascii="Gautami" w:hAnsi="Gautami" w:cs="Gautami"/>
          <w:b/>
          <w:sz w:val="24"/>
          <w:szCs w:val="24"/>
          <w:u w:val="single"/>
          <w:lang w:val="fr-FR"/>
        </w:rPr>
        <w:t>Les échéances du secteur bancaire</w:t>
      </w:r>
    </w:p>
    <w:p w:rsidR="00FA0A97" w:rsidRDefault="00FA0A97" w:rsidP="003F7D74">
      <w:pPr>
        <w:pStyle w:val="NoSpacing"/>
        <w:jc w:val="both"/>
        <w:rPr>
          <w:rFonts w:ascii="Gautami" w:hAnsi="Gautami" w:cs="Gautami"/>
          <w:sz w:val="24"/>
          <w:szCs w:val="24"/>
          <w:lang w:val="fr-FR"/>
        </w:rPr>
      </w:pPr>
    </w:p>
    <w:p w:rsidR="00FA0A97" w:rsidRDefault="00FA0A97" w:rsidP="003F7D74">
      <w:pPr>
        <w:pStyle w:val="NoSpacing"/>
        <w:jc w:val="both"/>
        <w:rPr>
          <w:rFonts w:ascii="Gautami" w:hAnsi="Gautami" w:cs="Gautami"/>
          <w:sz w:val="24"/>
          <w:szCs w:val="24"/>
          <w:lang w:val="fr-FR"/>
        </w:rPr>
      </w:pPr>
      <w:r>
        <w:rPr>
          <w:rFonts w:ascii="Gautami" w:hAnsi="Gautami" w:cs="Gautami"/>
          <w:sz w:val="24"/>
          <w:szCs w:val="24"/>
          <w:lang w:val="fr-FR"/>
        </w:rPr>
        <w:t>Deux échéances importantes attendent le secteur bancaire durant l’exercice 2012/2013.</w:t>
      </w:r>
    </w:p>
    <w:p w:rsidR="002F6DDF" w:rsidRDefault="002F6DDF" w:rsidP="003F7D74">
      <w:pPr>
        <w:pStyle w:val="NoSpacing"/>
        <w:jc w:val="both"/>
        <w:rPr>
          <w:rFonts w:ascii="Gautami" w:hAnsi="Gautami" w:cs="Gautami"/>
          <w:sz w:val="24"/>
          <w:szCs w:val="24"/>
          <w:lang w:val="fr-FR"/>
        </w:rPr>
      </w:pPr>
    </w:p>
    <w:p w:rsidR="002F6DDF" w:rsidRDefault="004E7C01" w:rsidP="003F7D74">
      <w:pPr>
        <w:pStyle w:val="NoSpacing"/>
        <w:jc w:val="both"/>
        <w:rPr>
          <w:rFonts w:ascii="Gautami" w:hAnsi="Gautami" w:cs="Gautami"/>
          <w:sz w:val="24"/>
          <w:szCs w:val="24"/>
          <w:lang w:val="fr-FR"/>
        </w:rPr>
      </w:pPr>
      <w:r>
        <w:rPr>
          <w:rFonts w:ascii="Gautami" w:hAnsi="Gautami" w:cs="Gautami"/>
          <w:sz w:val="24"/>
          <w:szCs w:val="24"/>
          <w:lang w:val="fr-FR"/>
        </w:rPr>
        <w:t xml:space="preserve">La prochaine évaluation du GAFI en novembre </w:t>
      </w:r>
      <w:r w:rsidR="00335220">
        <w:rPr>
          <w:rFonts w:ascii="Gautami" w:hAnsi="Gautami" w:cs="Gautami"/>
          <w:sz w:val="24"/>
          <w:szCs w:val="24"/>
          <w:lang w:val="fr-FR"/>
        </w:rPr>
        <w:t xml:space="preserve">2012 et la mise en application de </w:t>
      </w:r>
      <w:proofErr w:type="spellStart"/>
      <w:r w:rsidR="00335220">
        <w:rPr>
          <w:rFonts w:ascii="Gautami" w:hAnsi="Gautami" w:cs="Gautami"/>
          <w:sz w:val="24"/>
          <w:szCs w:val="24"/>
          <w:lang w:val="fr-FR"/>
        </w:rPr>
        <w:t>Foreign</w:t>
      </w:r>
      <w:proofErr w:type="spellEnd"/>
      <w:r w:rsidR="00335220">
        <w:rPr>
          <w:rFonts w:ascii="Gautami" w:hAnsi="Gautami" w:cs="Gautami"/>
          <w:sz w:val="24"/>
          <w:szCs w:val="24"/>
          <w:lang w:val="fr-FR"/>
        </w:rPr>
        <w:t xml:space="preserve"> </w:t>
      </w:r>
      <w:proofErr w:type="spellStart"/>
      <w:r w:rsidR="00335220">
        <w:rPr>
          <w:rFonts w:ascii="Gautami" w:hAnsi="Gautami" w:cs="Gautami"/>
          <w:sz w:val="24"/>
          <w:szCs w:val="24"/>
          <w:lang w:val="fr-FR"/>
        </w:rPr>
        <w:t>Account</w:t>
      </w:r>
      <w:proofErr w:type="spellEnd"/>
      <w:r w:rsidR="00335220">
        <w:rPr>
          <w:rFonts w:ascii="Gautami" w:hAnsi="Gautami" w:cs="Gautami"/>
          <w:sz w:val="24"/>
          <w:szCs w:val="24"/>
          <w:lang w:val="fr-FR"/>
        </w:rPr>
        <w:t xml:space="preserve"> </w:t>
      </w:r>
      <w:proofErr w:type="spellStart"/>
      <w:r w:rsidR="00335220">
        <w:rPr>
          <w:rFonts w:ascii="Gautami" w:hAnsi="Gautami" w:cs="Gautami"/>
          <w:sz w:val="24"/>
          <w:szCs w:val="24"/>
          <w:lang w:val="fr-FR"/>
        </w:rPr>
        <w:t>Tax</w:t>
      </w:r>
      <w:proofErr w:type="spellEnd"/>
      <w:r w:rsidR="00335220">
        <w:rPr>
          <w:rFonts w:ascii="Gautami" w:hAnsi="Gautami" w:cs="Gautami"/>
          <w:sz w:val="24"/>
          <w:szCs w:val="24"/>
          <w:lang w:val="fr-FR"/>
        </w:rPr>
        <w:t xml:space="preserve"> </w:t>
      </w:r>
      <w:proofErr w:type="spellStart"/>
      <w:r w:rsidR="00335220">
        <w:rPr>
          <w:rFonts w:ascii="Gautami" w:hAnsi="Gautami" w:cs="Gautami"/>
          <w:sz w:val="24"/>
          <w:szCs w:val="24"/>
          <w:lang w:val="fr-FR"/>
        </w:rPr>
        <w:t>Compliance</w:t>
      </w:r>
      <w:proofErr w:type="spellEnd"/>
      <w:r w:rsidR="00335220">
        <w:rPr>
          <w:rFonts w:ascii="Gautami" w:hAnsi="Gautami" w:cs="Gautami"/>
          <w:sz w:val="24"/>
          <w:szCs w:val="24"/>
          <w:lang w:val="fr-FR"/>
        </w:rPr>
        <w:t xml:space="preserve"> </w:t>
      </w:r>
      <w:proofErr w:type="spellStart"/>
      <w:r w:rsidR="00335220">
        <w:rPr>
          <w:rFonts w:ascii="Gautami" w:hAnsi="Gautami" w:cs="Gautami"/>
          <w:sz w:val="24"/>
          <w:szCs w:val="24"/>
          <w:lang w:val="fr-FR"/>
        </w:rPr>
        <w:t>Act</w:t>
      </w:r>
      <w:proofErr w:type="spellEnd"/>
      <w:r w:rsidR="00335220">
        <w:rPr>
          <w:rFonts w:ascii="Gautami" w:hAnsi="Gautami" w:cs="Gautami"/>
          <w:sz w:val="24"/>
          <w:szCs w:val="24"/>
          <w:lang w:val="fr-FR"/>
        </w:rPr>
        <w:t xml:space="preserve"> en juin 2013.</w:t>
      </w:r>
    </w:p>
    <w:p w:rsidR="005D2FB1" w:rsidRDefault="005D2FB1" w:rsidP="003F7D74">
      <w:pPr>
        <w:pStyle w:val="NoSpacing"/>
        <w:jc w:val="both"/>
        <w:rPr>
          <w:rFonts w:ascii="Gautami" w:hAnsi="Gautami" w:cs="Gautami"/>
          <w:sz w:val="24"/>
          <w:szCs w:val="24"/>
          <w:lang w:val="fr-FR"/>
        </w:rPr>
      </w:pPr>
    </w:p>
    <w:p w:rsidR="005D2FB1" w:rsidRDefault="005D2FB1" w:rsidP="003F7D74">
      <w:pPr>
        <w:pStyle w:val="NoSpacing"/>
        <w:jc w:val="both"/>
        <w:rPr>
          <w:rFonts w:ascii="Gautami" w:hAnsi="Gautami" w:cs="Gautami"/>
          <w:sz w:val="24"/>
          <w:szCs w:val="24"/>
          <w:lang w:val="fr-FR"/>
        </w:rPr>
      </w:pPr>
      <w:r>
        <w:rPr>
          <w:rFonts w:ascii="Gautami" w:hAnsi="Gautami" w:cs="Gautami"/>
          <w:sz w:val="24"/>
          <w:szCs w:val="24"/>
          <w:lang w:val="fr-FR"/>
        </w:rPr>
        <w:t>Les nouvelles recommandations du Groupe d’Action Financière Internationale (GAFI) tendent à conférer le caractère d’infraction pénale à l’évasion et la fraude fiscale</w:t>
      </w:r>
      <w:r w:rsidR="00335220">
        <w:rPr>
          <w:rFonts w:ascii="Gautami" w:hAnsi="Gautami" w:cs="Gautami"/>
          <w:sz w:val="24"/>
          <w:szCs w:val="24"/>
          <w:lang w:val="fr-FR"/>
        </w:rPr>
        <w:t>s</w:t>
      </w:r>
      <w:r>
        <w:rPr>
          <w:rFonts w:ascii="Gautami" w:hAnsi="Gautami" w:cs="Gautami"/>
          <w:sz w:val="24"/>
          <w:szCs w:val="24"/>
          <w:lang w:val="fr-FR"/>
        </w:rPr>
        <w:t>.  Les pays adhérents, pour se conformer à cette norme, doivent mettre à jour leurs systèmes nationaux</w:t>
      </w:r>
      <w:r w:rsidR="0024781B">
        <w:rPr>
          <w:rFonts w:ascii="Gautami" w:hAnsi="Gautami" w:cs="Gautami"/>
          <w:sz w:val="24"/>
          <w:szCs w:val="24"/>
          <w:lang w:val="fr-FR"/>
        </w:rPr>
        <w:t xml:space="preserve"> de lutte contre le blanchiment. L’APB a inséré cette notion dans son agenda législatif et des démarches sont effectuées auprès du Comité National de Lutte contre le blanchiment des avoirs </w:t>
      </w:r>
      <w:r>
        <w:rPr>
          <w:rFonts w:ascii="Gautami" w:hAnsi="Gautami" w:cs="Gautami"/>
          <w:sz w:val="24"/>
          <w:szCs w:val="24"/>
          <w:lang w:val="fr-FR"/>
        </w:rPr>
        <w:t>et des autorités compétentes pour mettre à jour notre législation.</w:t>
      </w:r>
    </w:p>
    <w:p w:rsidR="005D2FB1" w:rsidRDefault="005D2FB1" w:rsidP="003F7D74">
      <w:pPr>
        <w:pStyle w:val="NoSpacing"/>
        <w:jc w:val="both"/>
        <w:rPr>
          <w:rFonts w:ascii="Gautami" w:hAnsi="Gautami" w:cs="Gautami"/>
          <w:sz w:val="24"/>
          <w:szCs w:val="24"/>
          <w:lang w:val="fr-FR"/>
        </w:rPr>
      </w:pPr>
    </w:p>
    <w:p w:rsidR="005D2FB1" w:rsidRDefault="005D2FB1" w:rsidP="003F7D74">
      <w:pPr>
        <w:pStyle w:val="NoSpacing"/>
        <w:jc w:val="both"/>
        <w:rPr>
          <w:rFonts w:ascii="Gautami" w:hAnsi="Gautami" w:cs="Gautami"/>
          <w:sz w:val="24"/>
          <w:szCs w:val="24"/>
          <w:lang w:val="fr-FR"/>
        </w:rPr>
      </w:pPr>
      <w:r>
        <w:rPr>
          <w:rFonts w:ascii="Gautami" w:hAnsi="Gautami" w:cs="Gautami"/>
          <w:sz w:val="24"/>
          <w:szCs w:val="24"/>
          <w:lang w:val="fr-FR"/>
        </w:rPr>
        <w:t xml:space="preserve">La FAFCA, </w:t>
      </w:r>
      <w:proofErr w:type="spellStart"/>
      <w:r>
        <w:rPr>
          <w:rFonts w:ascii="Gautami" w:hAnsi="Gautami" w:cs="Gautami"/>
          <w:sz w:val="24"/>
          <w:szCs w:val="24"/>
          <w:lang w:val="fr-FR"/>
        </w:rPr>
        <w:t>Foreign</w:t>
      </w:r>
      <w:proofErr w:type="spellEnd"/>
      <w:r>
        <w:rPr>
          <w:rFonts w:ascii="Gautami" w:hAnsi="Gautami" w:cs="Gautami"/>
          <w:sz w:val="24"/>
          <w:szCs w:val="24"/>
          <w:lang w:val="fr-FR"/>
        </w:rPr>
        <w:t xml:space="preserve"> </w:t>
      </w:r>
      <w:proofErr w:type="spellStart"/>
      <w:r>
        <w:rPr>
          <w:rFonts w:ascii="Gautami" w:hAnsi="Gautami" w:cs="Gautami"/>
          <w:sz w:val="24"/>
          <w:szCs w:val="24"/>
          <w:lang w:val="fr-FR"/>
        </w:rPr>
        <w:t>Account</w:t>
      </w:r>
      <w:proofErr w:type="spellEnd"/>
      <w:r>
        <w:rPr>
          <w:rFonts w:ascii="Gautami" w:hAnsi="Gautami" w:cs="Gautami"/>
          <w:sz w:val="24"/>
          <w:szCs w:val="24"/>
          <w:lang w:val="fr-FR"/>
        </w:rPr>
        <w:t xml:space="preserve"> </w:t>
      </w:r>
      <w:proofErr w:type="spellStart"/>
      <w:r>
        <w:rPr>
          <w:rFonts w:ascii="Gautami" w:hAnsi="Gautami" w:cs="Gautami"/>
          <w:sz w:val="24"/>
          <w:szCs w:val="24"/>
          <w:lang w:val="fr-FR"/>
        </w:rPr>
        <w:t>Tax</w:t>
      </w:r>
      <w:proofErr w:type="spellEnd"/>
      <w:r>
        <w:rPr>
          <w:rFonts w:ascii="Gautami" w:hAnsi="Gautami" w:cs="Gautami"/>
          <w:sz w:val="24"/>
          <w:szCs w:val="24"/>
          <w:lang w:val="fr-FR"/>
        </w:rPr>
        <w:t xml:space="preserve"> </w:t>
      </w:r>
      <w:proofErr w:type="spellStart"/>
      <w:r>
        <w:rPr>
          <w:rFonts w:ascii="Gautami" w:hAnsi="Gautami" w:cs="Gautami"/>
          <w:sz w:val="24"/>
          <w:szCs w:val="24"/>
          <w:lang w:val="fr-FR"/>
        </w:rPr>
        <w:t>Compliance</w:t>
      </w:r>
      <w:proofErr w:type="spellEnd"/>
      <w:r>
        <w:rPr>
          <w:rFonts w:ascii="Gautami" w:hAnsi="Gautami" w:cs="Gautami"/>
          <w:sz w:val="24"/>
          <w:szCs w:val="24"/>
          <w:lang w:val="fr-FR"/>
        </w:rPr>
        <w:t xml:space="preserve"> </w:t>
      </w:r>
      <w:proofErr w:type="spellStart"/>
      <w:r>
        <w:rPr>
          <w:rFonts w:ascii="Gautami" w:hAnsi="Gautami" w:cs="Gautami"/>
          <w:sz w:val="24"/>
          <w:szCs w:val="24"/>
          <w:lang w:val="fr-FR"/>
        </w:rPr>
        <w:t>Act</w:t>
      </w:r>
      <w:proofErr w:type="spellEnd"/>
      <w:r>
        <w:rPr>
          <w:rFonts w:ascii="Gautami" w:hAnsi="Gautami" w:cs="Gautami"/>
          <w:sz w:val="24"/>
          <w:szCs w:val="24"/>
          <w:lang w:val="fr-FR"/>
        </w:rPr>
        <w:t xml:space="preserve"> est la seconde échéance q</w:t>
      </w:r>
      <w:r w:rsidR="00B5605D">
        <w:rPr>
          <w:rFonts w:ascii="Gautami" w:hAnsi="Gautami" w:cs="Gautami"/>
          <w:sz w:val="24"/>
          <w:szCs w:val="24"/>
          <w:lang w:val="fr-FR"/>
        </w:rPr>
        <w:t>u</w:t>
      </w:r>
      <w:r>
        <w:rPr>
          <w:rFonts w:ascii="Gautami" w:hAnsi="Gautami" w:cs="Gautami"/>
          <w:sz w:val="24"/>
          <w:szCs w:val="24"/>
          <w:lang w:val="fr-FR"/>
        </w:rPr>
        <w:t>i attend le secteur bancaire dès janvier 2013.  Pour mémoire, cette loi impose une retenue</w:t>
      </w:r>
      <w:r w:rsidR="002F6DDF">
        <w:rPr>
          <w:rFonts w:ascii="Gautami" w:hAnsi="Gautami" w:cs="Gautami"/>
          <w:sz w:val="24"/>
          <w:szCs w:val="24"/>
          <w:lang w:val="fr-FR"/>
        </w:rPr>
        <w:t xml:space="preserve"> d’impôt de 30% aux institutions n’ayant pas souscrit auprès de l’</w:t>
      </w:r>
      <w:proofErr w:type="spellStart"/>
      <w:r w:rsidR="002F6DDF">
        <w:rPr>
          <w:rFonts w:ascii="Gautami" w:hAnsi="Gautami" w:cs="Gautami"/>
          <w:sz w:val="24"/>
          <w:szCs w:val="24"/>
          <w:lang w:val="fr-FR"/>
        </w:rPr>
        <w:t>internal</w:t>
      </w:r>
      <w:proofErr w:type="spellEnd"/>
      <w:r w:rsidR="002F6DDF">
        <w:rPr>
          <w:rFonts w:ascii="Gautami" w:hAnsi="Gautami" w:cs="Gautami"/>
          <w:sz w:val="24"/>
          <w:szCs w:val="24"/>
          <w:lang w:val="fr-FR"/>
        </w:rPr>
        <w:t xml:space="preserve"> revenue service (IRS) un contrat par lequel elles s’engagent à fournir périodiquement les noms et comptes détenus par les citoyens américains.</w:t>
      </w:r>
    </w:p>
    <w:p w:rsidR="002F6DDF" w:rsidRDefault="002F6DDF" w:rsidP="003F7D74">
      <w:pPr>
        <w:pStyle w:val="NoSpacing"/>
        <w:jc w:val="both"/>
        <w:rPr>
          <w:rFonts w:ascii="Gautami" w:hAnsi="Gautami" w:cs="Gautami"/>
          <w:sz w:val="24"/>
          <w:szCs w:val="24"/>
          <w:lang w:val="fr-FR"/>
        </w:rPr>
      </w:pPr>
    </w:p>
    <w:p w:rsidR="002F6DDF" w:rsidRDefault="002F6DDF" w:rsidP="003F7D74">
      <w:pPr>
        <w:pStyle w:val="NoSpacing"/>
        <w:jc w:val="both"/>
        <w:rPr>
          <w:rFonts w:ascii="Gautami" w:hAnsi="Gautami" w:cs="Gautami"/>
          <w:sz w:val="24"/>
          <w:szCs w:val="24"/>
          <w:lang w:val="fr-FR"/>
        </w:rPr>
      </w:pPr>
      <w:r>
        <w:rPr>
          <w:rFonts w:ascii="Gautami" w:hAnsi="Gautami" w:cs="Gautami"/>
          <w:sz w:val="24"/>
          <w:szCs w:val="24"/>
          <w:lang w:val="fr-FR"/>
        </w:rPr>
        <w:t>Les membres de l’APB, en Assemblée Générale, ont analysé les problèmes posés par la transmission des informations, ils ont recherc</w:t>
      </w:r>
      <w:r w:rsidR="00B5605D">
        <w:rPr>
          <w:rFonts w:ascii="Gautami" w:hAnsi="Gautami" w:cs="Gautami"/>
          <w:sz w:val="24"/>
          <w:szCs w:val="24"/>
          <w:lang w:val="fr-FR"/>
        </w:rPr>
        <w:t>hé la source des informations pou</w:t>
      </w:r>
      <w:r>
        <w:rPr>
          <w:rFonts w:ascii="Gautami" w:hAnsi="Gautami" w:cs="Gautami"/>
          <w:sz w:val="24"/>
          <w:szCs w:val="24"/>
          <w:lang w:val="fr-FR"/>
        </w:rPr>
        <w:t xml:space="preserve">r les comptes actuels détenus par les citoyens ou US </w:t>
      </w:r>
      <w:proofErr w:type="spellStart"/>
      <w:r>
        <w:rPr>
          <w:rFonts w:ascii="Gautami" w:hAnsi="Gautami" w:cs="Gautami"/>
          <w:sz w:val="24"/>
          <w:szCs w:val="24"/>
          <w:lang w:val="fr-FR"/>
        </w:rPr>
        <w:t>persons</w:t>
      </w:r>
      <w:proofErr w:type="spellEnd"/>
      <w:r>
        <w:rPr>
          <w:rFonts w:ascii="Gautami" w:hAnsi="Gautami" w:cs="Gautami"/>
          <w:sz w:val="24"/>
          <w:szCs w:val="24"/>
          <w:lang w:val="fr-FR"/>
        </w:rPr>
        <w:t xml:space="preserve"> et surtout les options possibles de transmission des informations sollicitées par les autorités américaines.</w:t>
      </w:r>
    </w:p>
    <w:p w:rsidR="004E7C01" w:rsidRDefault="004E7C01" w:rsidP="003F7D74">
      <w:pPr>
        <w:pStyle w:val="NoSpacing"/>
        <w:jc w:val="both"/>
        <w:rPr>
          <w:rFonts w:ascii="Gautami" w:hAnsi="Gautami" w:cs="Gautami"/>
          <w:sz w:val="24"/>
          <w:szCs w:val="24"/>
          <w:lang w:val="fr-FR"/>
        </w:rPr>
      </w:pPr>
    </w:p>
    <w:p w:rsidR="004E7C01" w:rsidRDefault="004E7C01" w:rsidP="003F7D74">
      <w:pPr>
        <w:pStyle w:val="NoSpacing"/>
        <w:jc w:val="both"/>
        <w:rPr>
          <w:rFonts w:ascii="Gautami" w:hAnsi="Gautami" w:cs="Gautami"/>
          <w:sz w:val="24"/>
          <w:szCs w:val="24"/>
          <w:lang w:val="fr-FR"/>
        </w:rPr>
      </w:pPr>
    </w:p>
    <w:p w:rsidR="004E7C01" w:rsidRDefault="004E7C01" w:rsidP="003F7D74">
      <w:pPr>
        <w:pStyle w:val="NoSpacing"/>
        <w:jc w:val="both"/>
        <w:rPr>
          <w:rFonts w:ascii="Gautami" w:hAnsi="Gautami" w:cs="Gautami"/>
          <w:sz w:val="24"/>
          <w:szCs w:val="24"/>
          <w:lang w:val="fr-FR"/>
        </w:rPr>
      </w:pPr>
    </w:p>
    <w:p w:rsidR="004E7C01" w:rsidRDefault="004E7C01" w:rsidP="003F7D74">
      <w:pPr>
        <w:pStyle w:val="NoSpacing"/>
        <w:jc w:val="both"/>
        <w:rPr>
          <w:rFonts w:ascii="Gautami" w:hAnsi="Gautami" w:cs="Gautami"/>
          <w:sz w:val="24"/>
          <w:szCs w:val="24"/>
          <w:lang w:val="fr-FR"/>
        </w:rPr>
      </w:pPr>
    </w:p>
    <w:p w:rsidR="004E7C01" w:rsidRPr="004E7C01" w:rsidRDefault="004E7C01" w:rsidP="004E7C01">
      <w:pPr>
        <w:pStyle w:val="NoSpacing"/>
        <w:jc w:val="center"/>
        <w:rPr>
          <w:rFonts w:ascii="Arial" w:hAnsi="Arial" w:cs="Arial"/>
          <w:sz w:val="24"/>
          <w:szCs w:val="24"/>
          <w:lang w:val="fr-FR"/>
        </w:rPr>
      </w:pPr>
      <w:r>
        <w:rPr>
          <w:rFonts w:ascii="Arial" w:hAnsi="Arial" w:cs="Arial"/>
          <w:sz w:val="24"/>
          <w:szCs w:val="24"/>
          <w:lang w:val="fr-FR"/>
        </w:rPr>
        <w:t>-7-</w:t>
      </w:r>
    </w:p>
    <w:p w:rsidR="002F6DDF" w:rsidRDefault="002F6DDF" w:rsidP="003F7D74">
      <w:pPr>
        <w:pStyle w:val="NoSpacing"/>
        <w:jc w:val="both"/>
        <w:rPr>
          <w:rFonts w:ascii="Gautami" w:hAnsi="Gautami" w:cs="Gautami"/>
          <w:sz w:val="24"/>
          <w:szCs w:val="24"/>
          <w:lang w:val="fr-FR"/>
        </w:rPr>
      </w:pPr>
    </w:p>
    <w:p w:rsidR="002F6DDF" w:rsidRDefault="002F6DDF" w:rsidP="003F7D74">
      <w:pPr>
        <w:pStyle w:val="NoSpacing"/>
        <w:jc w:val="both"/>
        <w:rPr>
          <w:rFonts w:ascii="Gautami" w:hAnsi="Gautami" w:cs="Gautami"/>
          <w:sz w:val="24"/>
          <w:szCs w:val="24"/>
          <w:lang w:val="fr-FR"/>
        </w:rPr>
      </w:pPr>
      <w:r>
        <w:rPr>
          <w:rFonts w:ascii="Gautami" w:hAnsi="Gautami" w:cs="Gautami"/>
          <w:sz w:val="24"/>
          <w:szCs w:val="24"/>
          <w:lang w:val="fr-FR"/>
        </w:rPr>
        <w:t>Deux modèles d’accord proposés par le Département du Trésor Américain ont été acheminés à toutes les banques par le canal de l’APB.  Un modèle d’accord réciproque</w:t>
      </w:r>
      <w:r w:rsidR="00A1798A">
        <w:rPr>
          <w:rFonts w:ascii="Gautami" w:hAnsi="Gautami" w:cs="Gautami"/>
          <w:sz w:val="24"/>
          <w:szCs w:val="24"/>
          <w:lang w:val="fr-FR"/>
        </w:rPr>
        <w:t xml:space="preserve"> pour la fourniture des informations</w:t>
      </w:r>
      <w:r w:rsidR="004E7C01">
        <w:rPr>
          <w:rFonts w:ascii="Gautami" w:hAnsi="Gautami" w:cs="Gautami"/>
          <w:sz w:val="24"/>
          <w:szCs w:val="24"/>
          <w:lang w:val="fr-FR"/>
        </w:rPr>
        <w:t xml:space="preserve"> </w:t>
      </w:r>
      <w:r w:rsidR="00A1798A">
        <w:rPr>
          <w:rFonts w:ascii="Gautami" w:hAnsi="Gautami" w:cs="Gautami"/>
          <w:sz w:val="24"/>
          <w:szCs w:val="24"/>
          <w:lang w:val="fr-FR"/>
        </w:rPr>
        <w:t xml:space="preserve">et un modèle non réciproque </w:t>
      </w:r>
      <w:r w:rsidR="004E7C01">
        <w:rPr>
          <w:rFonts w:ascii="Gautami" w:hAnsi="Gautami" w:cs="Gautami"/>
          <w:sz w:val="24"/>
          <w:szCs w:val="24"/>
          <w:lang w:val="fr-FR"/>
        </w:rPr>
        <w:t>entre le gouvernement américain  et le gouvernement considéré comme partenaire du FATCA.  De plus, les membres présents en Assemblée Générale ont convenu de rédiger un document commun informant les clients anciens et nouveaux sur les dispositions du FATCA.  Ce document doit contenir l’ensemble des informations à réclamer de la clientèle.</w:t>
      </w:r>
    </w:p>
    <w:p w:rsidR="00FA0A97" w:rsidRDefault="00FA0A97" w:rsidP="003F7D74">
      <w:pPr>
        <w:pStyle w:val="NoSpacing"/>
        <w:jc w:val="both"/>
        <w:rPr>
          <w:rFonts w:ascii="Gautami" w:hAnsi="Gautami" w:cs="Gautami"/>
          <w:sz w:val="24"/>
          <w:szCs w:val="24"/>
          <w:lang w:val="fr-FR"/>
        </w:rPr>
      </w:pPr>
    </w:p>
    <w:p w:rsidR="00C358E8" w:rsidRPr="004E392B" w:rsidRDefault="00C358E8" w:rsidP="003F7D74">
      <w:pPr>
        <w:pStyle w:val="NoSpacing"/>
        <w:jc w:val="both"/>
        <w:rPr>
          <w:rFonts w:ascii="Gautami" w:hAnsi="Gautami" w:cs="Gautami"/>
          <w:b/>
          <w:sz w:val="24"/>
          <w:szCs w:val="24"/>
          <w:u w:val="single"/>
          <w:lang w:val="fr-FR"/>
        </w:rPr>
      </w:pPr>
      <w:r w:rsidRPr="004E392B">
        <w:rPr>
          <w:rFonts w:ascii="Gautami" w:hAnsi="Gautami" w:cs="Gautami"/>
          <w:b/>
          <w:sz w:val="24"/>
          <w:szCs w:val="24"/>
          <w:u w:val="single"/>
          <w:lang w:val="fr-FR"/>
        </w:rPr>
        <w:t>Les cours de formation</w:t>
      </w:r>
    </w:p>
    <w:p w:rsidR="00C358E8" w:rsidRDefault="00C358E8" w:rsidP="003F7D74">
      <w:pPr>
        <w:pStyle w:val="NoSpacing"/>
        <w:jc w:val="both"/>
        <w:rPr>
          <w:rFonts w:ascii="Gautami" w:hAnsi="Gautami" w:cs="Gautami"/>
          <w:sz w:val="24"/>
          <w:szCs w:val="24"/>
          <w:lang w:val="fr-FR"/>
        </w:rPr>
      </w:pPr>
    </w:p>
    <w:p w:rsidR="00C358E8" w:rsidRDefault="00C358E8" w:rsidP="003F7D74">
      <w:pPr>
        <w:pStyle w:val="NoSpacing"/>
        <w:jc w:val="both"/>
        <w:rPr>
          <w:rFonts w:ascii="Gautami" w:hAnsi="Gautami" w:cs="Gautami"/>
          <w:sz w:val="24"/>
          <w:szCs w:val="24"/>
          <w:lang w:val="fr-FR"/>
        </w:rPr>
      </w:pPr>
      <w:r>
        <w:rPr>
          <w:rFonts w:ascii="Gautami" w:hAnsi="Gautami" w:cs="Gautami"/>
          <w:sz w:val="24"/>
          <w:szCs w:val="24"/>
          <w:lang w:val="fr-FR"/>
        </w:rPr>
        <w:t>Pour la quatrième année consécutive l’APB a dispensé des cours de formation dans le cadre</w:t>
      </w:r>
      <w:r w:rsidR="007E27DB">
        <w:rPr>
          <w:rFonts w:ascii="Gautami" w:hAnsi="Gautami" w:cs="Gautami"/>
          <w:sz w:val="24"/>
          <w:szCs w:val="24"/>
          <w:lang w:val="fr-FR"/>
        </w:rPr>
        <w:t xml:space="preserve"> de l’accord de coopération signé avec le Centre de Formation de la Profession Bancaire (CFPB) de France.  Un total de 55 étudiants ont suivi des cours de Brevet et de l’Institut Technique de Banque.  Les rés</w:t>
      </w:r>
      <w:r w:rsidR="00545976">
        <w:rPr>
          <w:rFonts w:ascii="Gautami" w:hAnsi="Gautami" w:cs="Gautami"/>
          <w:sz w:val="24"/>
          <w:szCs w:val="24"/>
          <w:lang w:val="fr-FR"/>
        </w:rPr>
        <w:t>ultats de l’année académique 2011</w:t>
      </w:r>
      <w:r w:rsidR="007E27DB">
        <w:rPr>
          <w:rFonts w:ascii="Gautami" w:hAnsi="Gautami" w:cs="Gautami"/>
          <w:sz w:val="24"/>
          <w:szCs w:val="24"/>
          <w:lang w:val="fr-FR"/>
        </w:rPr>
        <w:t>/2012 sont meilleurs par rapport à l’année précédente.</w:t>
      </w:r>
    </w:p>
    <w:p w:rsidR="007E27DB" w:rsidRDefault="007E27DB" w:rsidP="003F7D74">
      <w:pPr>
        <w:pStyle w:val="NoSpacing"/>
        <w:jc w:val="both"/>
        <w:rPr>
          <w:rFonts w:ascii="Gautami" w:hAnsi="Gautami" w:cs="Gautami"/>
          <w:sz w:val="24"/>
          <w:szCs w:val="24"/>
          <w:lang w:val="fr-FR"/>
        </w:rPr>
      </w:pPr>
    </w:p>
    <w:p w:rsidR="007E27DB" w:rsidRDefault="007E27DB" w:rsidP="003F7D74">
      <w:pPr>
        <w:pStyle w:val="NoSpacing"/>
        <w:jc w:val="both"/>
        <w:rPr>
          <w:rFonts w:ascii="Gautami" w:hAnsi="Gautami" w:cs="Gautami"/>
          <w:sz w:val="24"/>
          <w:szCs w:val="24"/>
          <w:lang w:val="fr-FR"/>
        </w:rPr>
      </w:pPr>
      <w:r>
        <w:rPr>
          <w:rFonts w:ascii="Gautami" w:hAnsi="Gautami" w:cs="Gautami"/>
          <w:sz w:val="24"/>
          <w:szCs w:val="24"/>
          <w:lang w:val="fr-FR"/>
        </w:rPr>
        <w:t>Pour le Brevet Bancaire le taux de réussite est de 82% contre 15% en 2010/2011,  Pour l’Institut Technique de Banque, la première année a enregistré un taux de passage de 67% contre 70% l’année précédente.  La deuxième année a eu un pourcentage d’admis de 82.6% contre 70% l’année précédente.</w:t>
      </w:r>
    </w:p>
    <w:p w:rsidR="007E27DB" w:rsidRDefault="007E27DB" w:rsidP="003F7D74">
      <w:pPr>
        <w:pStyle w:val="NoSpacing"/>
        <w:jc w:val="both"/>
        <w:rPr>
          <w:rFonts w:ascii="Gautami" w:hAnsi="Gautami" w:cs="Gautami"/>
          <w:sz w:val="24"/>
          <w:szCs w:val="24"/>
          <w:lang w:val="fr-FR"/>
        </w:rPr>
      </w:pPr>
    </w:p>
    <w:p w:rsidR="007E27DB" w:rsidRDefault="007E27DB" w:rsidP="003F7D74">
      <w:pPr>
        <w:pStyle w:val="NoSpacing"/>
        <w:jc w:val="both"/>
        <w:rPr>
          <w:rFonts w:ascii="Gautami" w:hAnsi="Gautami" w:cs="Gautami"/>
          <w:sz w:val="24"/>
          <w:szCs w:val="24"/>
          <w:lang w:val="fr-FR"/>
        </w:rPr>
      </w:pPr>
      <w:r>
        <w:rPr>
          <w:rFonts w:ascii="Gautami" w:hAnsi="Gautami" w:cs="Gautami"/>
          <w:sz w:val="24"/>
          <w:szCs w:val="24"/>
          <w:lang w:val="fr-FR"/>
        </w:rPr>
        <w:t>Ci-dessous la liste des participants ayant subi avec succès le grand oral à Paris en juillet 2012 et qui ont droit au diplôme de l’Institut Technique de Banque après deux années d’études :</w:t>
      </w:r>
    </w:p>
    <w:p w:rsidR="007E27DB" w:rsidRDefault="007E27DB" w:rsidP="003F7D74">
      <w:pPr>
        <w:pStyle w:val="NoSpacing"/>
        <w:jc w:val="both"/>
        <w:rPr>
          <w:rFonts w:ascii="Gautami" w:hAnsi="Gautami" w:cs="Gautami"/>
          <w:sz w:val="24"/>
          <w:szCs w:val="24"/>
          <w:lang w:val="fr-FR"/>
        </w:rPr>
      </w:pPr>
    </w:p>
    <w:p w:rsidR="007E27DB" w:rsidRDefault="007E27DB" w:rsidP="003F7D74">
      <w:pPr>
        <w:pStyle w:val="NoSpacing"/>
        <w:jc w:val="both"/>
        <w:rPr>
          <w:rFonts w:ascii="Gautami" w:hAnsi="Gautami" w:cs="Gautami"/>
          <w:sz w:val="24"/>
          <w:szCs w:val="24"/>
          <w:lang w:val="fr-FR"/>
        </w:rPr>
      </w:pPr>
      <w:r>
        <w:rPr>
          <w:rFonts w:ascii="Gautami" w:hAnsi="Gautami" w:cs="Gautami"/>
          <w:sz w:val="24"/>
          <w:szCs w:val="24"/>
          <w:lang w:val="fr-FR"/>
        </w:rPr>
        <w:t>Sandra Laroche Delorme</w:t>
      </w:r>
      <w:r>
        <w:rPr>
          <w:rFonts w:ascii="Gautami" w:hAnsi="Gautami" w:cs="Gautami"/>
          <w:sz w:val="24"/>
          <w:szCs w:val="24"/>
          <w:lang w:val="fr-FR"/>
        </w:rPr>
        <w:tab/>
      </w:r>
      <w:r>
        <w:rPr>
          <w:rFonts w:ascii="Gautami" w:hAnsi="Gautami" w:cs="Gautami"/>
          <w:sz w:val="24"/>
          <w:szCs w:val="24"/>
          <w:lang w:val="fr-FR"/>
        </w:rPr>
        <w:tab/>
        <w:t>SOGEBANK</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MENTION : BIEN</w:t>
      </w:r>
    </w:p>
    <w:p w:rsidR="007E27DB" w:rsidRDefault="007E27DB" w:rsidP="003F7D74">
      <w:pPr>
        <w:pStyle w:val="NoSpacing"/>
        <w:jc w:val="both"/>
        <w:rPr>
          <w:rFonts w:ascii="Gautami" w:hAnsi="Gautami" w:cs="Gautami"/>
          <w:sz w:val="24"/>
          <w:szCs w:val="24"/>
          <w:lang w:val="fr-FR"/>
        </w:rPr>
      </w:pPr>
      <w:r>
        <w:rPr>
          <w:rFonts w:ascii="Gautami" w:hAnsi="Gautami" w:cs="Gautami"/>
          <w:sz w:val="24"/>
          <w:szCs w:val="24"/>
          <w:lang w:val="fr-FR"/>
        </w:rPr>
        <w:t xml:space="preserve">Marie Ange </w:t>
      </w:r>
      <w:proofErr w:type="spellStart"/>
      <w:r>
        <w:rPr>
          <w:rFonts w:ascii="Gautami" w:hAnsi="Gautami" w:cs="Gautami"/>
          <w:sz w:val="24"/>
          <w:szCs w:val="24"/>
          <w:lang w:val="fr-FR"/>
        </w:rPr>
        <w:t>Rinvil</w:t>
      </w:r>
      <w:proofErr w:type="spellEnd"/>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SOGEBANK</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MENTION : ASSEZ-BIEN</w:t>
      </w:r>
    </w:p>
    <w:p w:rsidR="007E27DB" w:rsidRDefault="007E27DB" w:rsidP="003F7D74">
      <w:pPr>
        <w:pStyle w:val="NoSpacing"/>
        <w:jc w:val="both"/>
        <w:rPr>
          <w:rFonts w:ascii="Gautami" w:hAnsi="Gautami" w:cs="Gautami"/>
          <w:sz w:val="24"/>
          <w:szCs w:val="24"/>
          <w:lang w:val="fr-FR"/>
        </w:rPr>
      </w:pPr>
      <w:r>
        <w:rPr>
          <w:rFonts w:ascii="Gautami" w:hAnsi="Gautami" w:cs="Gautami"/>
          <w:sz w:val="24"/>
          <w:szCs w:val="24"/>
          <w:lang w:val="fr-FR"/>
        </w:rPr>
        <w:t>Marie Mica Bruno</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SOGEBANK</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MENTION : ASSEZ-BIEN</w:t>
      </w:r>
    </w:p>
    <w:p w:rsidR="007E27DB" w:rsidRDefault="007E27DB" w:rsidP="003F7D74">
      <w:pPr>
        <w:pStyle w:val="NoSpacing"/>
        <w:jc w:val="both"/>
        <w:rPr>
          <w:rFonts w:ascii="Gautami" w:hAnsi="Gautami" w:cs="Gautami"/>
          <w:sz w:val="24"/>
          <w:szCs w:val="24"/>
          <w:lang w:val="fr-FR"/>
        </w:rPr>
      </w:pPr>
      <w:proofErr w:type="spellStart"/>
      <w:r>
        <w:rPr>
          <w:rFonts w:ascii="Gautami" w:hAnsi="Gautami" w:cs="Gautami"/>
          <w:sz w:val="24"/>
          <w:szCs w:val="24"/>
          <w:lang w:val="fr-FR"/>
        </w:rPr>
        <w:t>Dadie</w:t>
      </w:r>
      <w:proofErr w:type="spellEnd"/>
      <w:r>
        <w:rPr>
          <w:rFonts w:ascii="Gautami" w:hAnsi="Gautami" w:cs="Gautami"/>
          <w:sz w:val="24"/>
          <w:szCs w:val="24"/>
          <w:lang w:val="fr-FR"/>
        </w:rPr>
        <w:t xml:space="preserve"> Pierre</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SOGEBANK</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MENTION : ASSEZ-BIEN</w:t>
      </w:r>
    </w:p>
    <w:p w:rsidR="007E27DB" w:rsidRDefault="007E27DB" w:rsidP="003F7D74">
      <w:pPr>
        <w:pStyle w:val="NoSpacing"/>
        <w:jc w:val="both"/>
        <w:rPr>
          <w:rFonts w:ascii="Gautami" w:hAnsi="Gautami" w:cs="Gautami"/>
          <w:sz w:val="24"/>
          <w:szCs w:val="24"/>
          <w:lang w:val="fr-FR"/>
        </w:rPr>
      </w:pPr>
      <w:r>
        <w:rPr>
          <w:rFonts w:ascii="Gautami" w:hAnsi="Gautami" w:cs="Gautami"/>
          <w:sz w:val="24"/>
          <w:szCs w:val="24"/>
          <w:lang w:val="fr-FR"/>
        </w:rPr>
        <w:t>Louis Rivaud Cadet</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SOGEBANK</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MENTION : ASSEZ-BIEN</w:t>
      </w:r>
    </w:p>
    <w:p w:rsidR="007E27DB" w:rsidRDefault="007E27DB" w:rsidP="003F7D74">
      <w:pPr>
        <w:pStyle w:val="NoSpacing"/>
        <w:jc w:val="both"/>
        <w:rPr>
          <w:rFonts w:ascii="Gautami" w:hAnsi="Gautami" w:cs="Gautami"/>
          <w:sz w:val="24"/>
          <w:szCs w:val="24"/>
          <w:lang w:val="fr-FR"/>
        </w:rPr>
      </w:pPr>
      <w:r w:rsidRPr="007E27DB">
        <w:rPr>
          <w:rFonts w:ascii="Gautami" w:hAnsi="Gautami" w:cs="Gautami"/>
          <w:sz w:val="24"/>
          <w:szCs w:val="24"/>
          <w:lang w:val="fr-FR"/>
        </w:rPr>
        <w:t>John Dally Lundi</w:t>
      </w:r>
      <w:r w:rsidRPr="007E27DB">
        <w:rPr>
          <w:rFonts w:ascii="Gautami" w:hAnsi="Gautami" w:cs="Gautami"/>
          <w:sz w:val="24"/>
          <w:szCs w:val="24"/>
          <w:lang w:val="fr-FR"/>
        </w:rPr>
        <w:tab/>
      </w:r>
      <w:r w:rsidRPr="007E27DB">
        <w:rPr>
          <w:rFonts w:ascii="Gautami" w:hAnsi="Gautami" w:cs="Gautami"/>
          <w:sz w:val="24"/>
          <w:szCs w:val="24"/>
          <w:lang w:val="fr-FR"/>
        </w:rPr>
        <w:tab/>
        <w:t>Banque Nationale de Crédit</w:t>
      </w:r>
      <w:r w:rsidRPr="007E27DB">
        <w:rPr>
          <w:rFonts w:ascii="Gautami" w:hAnsi="Gautami" w:cs="Gautami"/>
          <w:sz w:val="24"/>
          <w:szCs w:val="24"/>
          <w:lang w:val="fr-FR"/>
        </w:rPr>
        <w:tab/>
      </w:r>
      <w:r>
        <w:rPr>
          <w:rFonts w:ascii="Gautami" w:hAnsi="Gautami" w:cs="Gautami"/>
          <w:sz w:val="24"/>
          <w:szCs w:val="24"/>
          <w:lang w:val="fr-FR"/>
        </w:rPr>
        <w:t>MENTION : ASSEZ-BIEN</w:t>
      </w:r>
    </w:p>
    <w:p w:rsidR="007E27DB" w:rsidRDefault="007E27DB" w:rsidP="003F7D74">
      <w:pPr>
        <w:pStyle w:val="NoSpacing"/>
        <w:jc w:val="both"/>
        <w:rPr>
          <w:rFonts w:ascii="Gautami" w:hAnsi="Gautami" w:cs="Gautami"/>
          <w:sz w:val="24"/>
          <w:szCs w:val="24"/>
          <w:lang w:val="fr-FR"/>
        </w:rPr>
      </w:pPr>
      <w:proofErr w:type="spellStart"/>
      <w:r>
        <w:rPr>
          <w:rFonts w:ascii="Gautami" w:hAnsi="Gautami" w:cs="Gautami"/>
          <w:sz w:val="24"/>
          <w:szCs w:val="24"/>
          <w:lang w:val="fr-FR"/>
        </w:rPr>
        <w:t>Greger</w:t>
      </w:r>
      <w:proofErr w:type="spellEnd"/>
      <w:r>
        <w:rPr>
          <w:rFonts w:ascii="Gautami" w:hAnsi="Gautami" w:cs="Gautami"/>
          <w:sz w:val="24"/>
          <w:szCs w:val="24"/>
          <w:lang w:val="fr-FR"/>
        </w:rPr>
        <w:t xml:space="preserve"> </w:t>
      </w:r>
      <w:proofErr w:type="spellStart"/>
      <w:r>
        <w:rPr>
          <w:rFonts w:ascii="Gautami" w:hAnsi="Gautami" w:cs="Gautami"/>
          <w:sz w:val="24"/>
          <w:szCs w:val="24"/>
          <w:lang w:val="fr-FR"/>
        </w:rPr>
        <w:t>Gassan</w:t>
      </w:r>
      <w:proofErr w:type="spellEnd"/>
      <w:r>
        <w:rPr>
          <w:rFonts w:ascii="Gautami" w:hAnsi="Gautami" w:cs="Gautami"/>
          <w:sz w:val="24"/>
          <w:szCs w:val="24"/>
          <w:lang w:val="fr-FR"/>
        </w:rPr>
        <w:tab/>
      </w:r>
      <w:r>
        <w:rPr>
          <w:rFonts w:ascii="Gautami" w:hAnsi="Gautami" w:cs="Gautami"/>
          <w:sz w:val="24"/>
          <w:szCs w:val="24"/>
          <w:lang w:val="fr-FR"/>
        </w:rPr>
        <w:tab/>
      </w:r>
      <w:r w:rsidR="002B352F">
        <w:rPr>
          <w:rFonts w:ascii="Gautami" w:hAnsi="Gautami" w:cs="Gautami"/>
          <w:sz w:val="24"/>
          <w:szCs w:val="24"/>
          <w:lang w:val="fr-FR"/>
        </w:rPr>
        <w:tab/>
        <w:t>Indépendant</w:t>
      </w:r>
      <w:r w:rsidR="002B352F">
        <w:rPr>
          <w:rFonts w:ascii="Gautami" w:hAnsi="Gautami" w:cs="Gautami"/>
          <w:sz w:val="24"/>
          <w:szCs w:val="24"/>
          <w:lang w:val="fr-FR"/>
        </w:rPr>
        <w:tab/>
      </w:r>
      <w:r w:rsidR="002B352F">
        <w:rPr>
          <w:rFonts w:ascii="Gautami" w:hAnsi="Gautami" w:cs="Gautami"/>
          <w:sz w:val="24"/>
          <w:szCs w:val="24"/>
          <w:lang w:val="fr-FR"/>
        </w:rPr>
        <w:tab/>
      </w:r>
      <w:r w:rsidR="002B352F">
        <w:rPr>
          <w:rFonts w:ascii="Gautami" w:hAnsi="Gautami" w:cs="Gautami"/>
          <w:sz w:val="24"/>
          <w:szCs w:val="24"/>
          <w:lang w:val="fr-FR"/>
        </w:rPr>
        <w:tab/>
        <w:t>MENTION : ASSEZ-BIEN</w:t>
      </w:r>
    </w:p>
    <w:p w:rsidR="002B352F" w:rsidRDefault="002B352F" w:rsidP="003F7D74">
      <w:pPr>
        <w:pStyle w:val="NoSpacing"/>
        <w:jc w:val="both"/>
        <w:rPr>
          <w:rFonts w:ascii="Gautami" w:hAnsi="Gautami" w:cs="Gautami"/>
          <w:sz w:val="24"/>
          <w:szCs w:val="24"/>
          <w:lang w:val="fr-FR"/>
        </w:rPr>
      </w:pPr>
      <w:r>
        <w:rPr>
          <w:rFonts w:ascii="Gautami" w:hAnsi="Gautami" w:cs="Gautami"/>
          <w:sz w:val="24"/>
          <w:szCs w:val="24"/>
          <w:lang w:val="fr-FR"/>
        </w:rPr>
        <w:t>Nancy François</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SOGEBANK</w:t>
      </w:r>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MENTION : ASSEZ-BIEN</w:t>
      </w:r>
    </w:p>
    <w:p w:rsidR="002B352F" w:rsidRDefault="002B352F" w:rsidP="003F7D74">
      <w:pPr>
        <w:pStyle w:val="NoSpacing"/>
        <w:jc w:val="both"/>
        <w:rPr>
          <w:rFonts w:ascii="Gautami" w:hAnsi="Gautami" w:cs="Gautami"/>
          <w:sz w:val="24"/>
          <w:szCs w:val="24"/>
          <w:lang w:val="fr-FR"/>
        </w:rPr>
      </w:pPr>
      <w:proofErr w:type="spellStart"/>
      <w:r>
        <w:rPr>
          <w:rFonts w:ascii="Gautami" w:hAnsi="Gautami" w:cs="Gautami"/>
          <w:sz w:val="24"/>
          <w:szCs w:val="24"/>
          <w:lang w:val="fr-FR"/>
        </w:rPr>
        <w:t>Cartale</w:t>
      </w:r>
      <w:proofErr w:type="spellEnd"/>
      <w:r>
        <w:rPr>
          <w:rFonts w:ascii="Gautami" w:hAnsi="Gautami" w:cs="Gautami"/>
          <w:sz w:val="24"/>
          <w:szCs w:val="24"/>
          <w:lang w:val="fr-FR"/>
        </w:rPr>
        <w:t xml:space="preserve"> </w:t>
      </w:r>
      <w:proofErr w:type="spellStart"/>
      <w:r>
        <w:rPr>
          <w:rFonts w:ascii="Gautami" w:hAnsi="Gautami" w:cs="Gautami"/>
          <w:sz w:val="24"/>
          <w:szCs w:val="24"/>
          <w:lang w:val="fr-FR"/>
        </w:rPr>
        <w:t>Ginley</w:t>
      </w:r>
      <w:proofErr w:type="spellEnd"/>
      <w:r>
        <w:rPr>
          <w:rFonts w:ascii="Gautami" w:hAnsi="Gautami" w:cs="Gautami"/>
          <w:sz w:val="24"/>
          <w:szCs w:val="24"/>
          <w:lang w:val="fr-FR"/>
        </w:rPr>
        <w:t xml:space="preserve"> Charles</w:t>
      </w:r>
      <w:r>
        <w:rPr>
          <w:rFonts w:ascii="Gautami" w:hAnsi="Gautami" w:cs="Gautami"/>
          <w:sz w:val="24"/>
          <w:szCs w:val="24"/>
          <w:lang w:val="fr-FR"/>
        </w:rPr>
        <w:tab/>
      </w:r>
      <w:r>
        <w:rPr>
          <w:rFonts w:ascii="Gautami" w:hAnsi="Gautami" w:cs="Gautami"/>
          <w:sz w:val="24"/>
          <w:szCs w:val="24"/>
          <w:lang w:val="fr-FR"/>
        </w:rPr>
        <w:tab/>
        <w:t>SOGEBEL</w:t>
      </w:r>
    </w:p>
    <w:p w:rsidR="002B352F" w:rsidRDefault="002B352F" w:rsidP="003F7D74">
      <w:pPr>
        <w:pStyle w:val="NoSpacing"/>
        <w:jc w:val="both"/>
        <w:rPr>
          <w:rFonts w:ascii="Gautami" w:hAnsi="Gautami" w:cs="Gautami"/>
          <w:sz w:val="24"/>
          <w:szCs w:val="24"/>
          <w:lang w:val="fr-FR"/>
        </w:rPr>
      </w:pPr>
      <w:r>
        <w:rPr>
          <w:rFonts w:ascii="Gautami" w:hAnsi="Gautami" w:cs="Gautami"/>
          <w:sz w:val="24"/>
          <w:szCs w:val="24"/>
          <w:lang w:val="fr-FR"/>
        </w:rPr>
        <w:t xml:space="preserve">Daphné </w:t>
      </w:r>
      <w:proofErr w:type="spellStart"/>
      <w:r>
        <w:rPr>
          <w:rFonts w:ascii="Gautami" w:hAnsi="Gautami" w:cs="Gautami"/>
          <w:sz w:val="24"/>
          <w:szCs w:val="24"/>
          <w:lang w:val="fr-FR"/>
        </w:rPr>
        <w:t>Montero</w:t>
      </w:r>
      <w:proofErr w:type="spellEnd"/>
      <w:r>
        <w:rPr>
          <w:rFonts w:ascii="Gautami" w:hAnsi="Gautami" w:cs="Gautami"/>
          <w:sz w:val="24"/>
          <w:szCs w:val="24"/>
          <w:lang w:val="fr-FR"/>
        </w:rPr>
        <w:tab/>
      </w:r>
      <w:r>
        <w:rPr>
          <w:rFonts w:ascii="Gautami" w:hAnsi="Gautami" w:cs="Gautami"/>
          <w:sz w:val="24"/>
          <w:szCs w:val="24"/>
          <w:lang w:val="fr-FR"/>
        </w:rPr>
        <w:tab/>
      </w:r>
      <w:r>
        <w:rPr>
          <w:rFonts w:ascii="Gautami" w:hAnsi="Gautami" w:cs="Gautami"/>
          <w:sz w:val="24"/>
          <w:szCs w:val="24"/>
          <w:lang w:val="fr-FR"/>
        </w:rPr>
        <w:tab/>
        <w:t>SOGEBANK</w:t>
      </w:r>
      <w:r>
        <w:rPr>
          <w:rFonts w:ascii="Gautami" w:hAnsi="Gautami" w:cs="Gautami"/>
          <w:sz w:val="24"/>
          <w:szCs w:val="24"/>
          <w:lang w:val="fr-FR"/>
        </w:rPr>
        <w:tab/>
      </w:r>
    </w:p>
    <w:p w:rsidR="002B352F" w:rsidRDefault="002B352F" w:rsidP="003F7D74">
      <w:pPr>
        <w:pStyle w:val="NoSpacing"/>
        <w:jc w:val="both"/>
        <w:rPr>
          <w:rFonts w:ascii="Gautami" w:hAnsi="Gautami" w:cs="Gautami"/>
          <w:sz w:val="24"/>
          <w:szCs w:val="24"/>
          <w:lang w:val="fr-FR"/>
        </w:rPr>
      </w:pPr>
      <w:proofErr w:type="spellStart"/>
      <w:r>
        <w:rPr>
          <w:rFonts w:ascii="Gautami" w:hAnsi="Gautami" w:cs="Gautami"/>
          <w:sz w:val="24"/>
          <w:szCs w:val="24"/>
          <w:lang w:val="fr-FR"/>
        </w:rPr>
        <w:t>Maudeline</w:t>
      </w:r>
      <w:proofErr w:type="spellEnd"/>
      <w:r>
        <w:rPr>
          <w:rFonts w:ascii="Gautami" w:hAnsi="Gautami" w:cs="Gautami"/>
          <w:sz w:val="24"/>
          <w:szCs w:val="24"/>
          <w:lang w:val="fr-FR"/>
        </w:rPr>
        <w:t xml:space="preserve"> </w:t>
      </w:r>
      <w:proofErr w:type="spellStart"/>
      <w:r>
        <w:rPr>
          <w:rFonts w:ascii="Gautami" w:hAnsi="Gautami" w:cs="Gautami"/>
          <w:sz w:val="24"/>
          <w:szCs w:val="24"/>
          <w:lang w:val="fr-FR"/>
        </w:rPr>
        <w:t>Byas</w:t>
      </w:r>
      <w:proofErr w:type="spellEnd"/>
      <w:r>
        <w:rPr>
          <w:rFonts w:ascii="Gautami" w:hAnsi="Gautami" w:cs="Gautami"/>
          <w:sz w:val="24"/>
          <w:szCs w:val="24"/>
          <w:lang w:val="fr-FR"/>
        </w:rPr>
        <w:tab/>
      </w:r>
      <w:r>
        <w:rPr>
          <w:rFonts w:ascii="Gautami" w:hAnsi="Gautami" w:cs="Gautami"/>
          <w:sz w:val="24"/>
          <w:szCs w:val="24"/>
          <w:lang w:val="fr-FR"/>
        </w:rPr>
        <w:tab/>
        <w:t>Banque Nationale de Crédit</w:t>
      </w:r>
    </w:p>
    <w:p w:rsidR="002B352F" w:rsidRDefault="002B352F" w:rsidP="003F7D74">
      <w:pPr>
        <w:pStyle w:val="NoSpacing"/>
        <w:jc w:val="both"/>
        <w:rPr>
          <w:rFonts w:ascii="Gautami" w:hAnsi="Gautami" w:cs="Gautami"/>
          <w:sz w:val="24"/>
          <w:szCs w:val="24"/>
          <w:lang w:val="fr-FR"/>
        </w:rPr>
      </w:pPr>
    </w:p>
    <w:p w:rsidR="005C01BB" w:rsidRDefault="002B352F" w:rsidP="003F7D74">
      <w:pPr>
        <w:pStyle w:val="NoSpacing"/>
        <w:jc w:val="both"/>
        <w:rPr>
          <w:rFonts w:ascii="Gautami" w:hAnsi="Gautami" w:cs="Gautami"/>
          <w:sz w:val="24"/>
          <w:szCs w:val="24"/>
          <w:lang w:val="fr-FR"/>
        </w:rPr>
      </w:pPr>
      <w:r>
        <w:rPr>
          <w:rFonts w:ascii="Gautami" w:hAnsi="Gautami" w:cs="Gautami"/>
          <w:sz w:val="24"/>
          <w:szCs w:val="24"/>
          <w:lang w:val="fr-FR"/>
        </w:rPr>
        <w:t>Le CFPB a avisé l’APB qu’à titre du classement général de la promotion 2012, la candidate haïtienne</w:t>
      </w:r>
      <w:r>
        <w:rPr>
          <w:rFonts w:ascii="Gautami" w:hAnsi="Gautami" w:cs="Gautami"/>
          <w:sz w:val="24"/>
          <w:szCs w:val="24"/>
          <w:lang w:val="fr-FR"/>
        </w:rPr>
        <w:tab/>
        <w:t xml:space="preserve"> Sandra Laroche Delorme est classée deuxième avec une moyenne de 15.21/20 et une mention BIEN.  Le major de la promotion a terminé son parcours académique avec une moyenne de 15.34/20.  Rappelons que les cours de formation sont organisées</w:t>
      </w:r>
      <w:r w:rsidR="007953B1">
        <w:rPr>
          <w:rFonts w:ascii="Gautami" w:hAnsi="Gautami" w:cs="Gautami"/>
          <w:sz w:val="24"/>
          <w:szCs w:val="24"/>
          <w:lang w:val="fr-FR"/>
        </w:rPr>
        <w:t xml:space="preserve"> en Haïti par l’APB qui assure la représentation du CFPB.  </w:t>
      </w:r>
    </w:p>
    <w:p w:rsidR="005C01BB" w:rsidRDefault="005C01BB" w:rsidP="005C01BB">
      <w:pPr>
        <w:pStyle w:val="NoSpacing"/>
        <w:jc w:val="center"/>
        <w:rPr>
          <w:rFonts w:ascii="Gautami" w:hAnsi="Gautami" w:cs="Gautami"/>
          <w:sz w:val="24"/>
          <w:szCs w:val="24"/>
          <w:lang w:val="fr-FR"/>
        </w:rPr>
      </w:pPr>
      <w:r>
        <w:rPr>
          <w:rFonts w:ascii="Gautami" w:hAnsi="Gautami" w:cs="Gautami"/>
          <w:sz w:val="24"/>
          <w:szCs w:val="24"/>
          <w:lang w:val="fr-FR"/>
        </w:rPr>
        <w:lastRenderedPageBreak/>
        <w:t>-8-</w:t>
      </w:r>
    </w:p>
    <w:p w:rsidR="005C01BB" w:rsidRDefault="005C01BB" w:rsidP="003F7D74">
      <w:pPr>
        <w:pStyle w:val="NoSpacing"/>
        <w:jc w:val="both"/>
        <w:rPr>
          <w:rFonts w:ascii="Gautami" w:hAnsi="Gautami" w:cs="Gautami"/>
          <w:sz w:val="24"/>
          <w:szCs w:val="24"/>
          <w:lang w:val="fr-FR"/>
        </w:rPr>
      </w:pPr>
    </w:p>
    <w:p w:rsidR="005C01BB" w:rsidRDefault="005C01BB" w:rsidP="003F7D74">
      <w:pPr>
        <w:pStyle w:val="NoSpacing"/>
        <w:jc w:val="both"/>
        <w:rPr>
          <w:rFonts w:ascii="Gautami" w:hAnsi="Gautami" w:cs="Gautami"/>
          <w:sz w:val="24"/>
          <w:szCs w:val="24"/>
          <w:lang w:val="fr-FR"/>
        </w:rPr>
      </w:pPr>
    </w:p>
    <w:p w:rsidR="005C01BB" w:rsidRDefault="005C01BB" w:rsidP="003F7D74">
      <w:pPr>
        <w:pStyle w:val="NoSpacing"/>
        <w:jc w:val="both"/>
        <w:rPr>
          <w:rFonts w:ascii="Gautami" w:hAnsi="Gautami" w:cs="Gautami"/>
          <w:sz w:val="24"/>
          <w:szCs w:val="24"/>
          <w:lang w:val="fr-FR"/>
        </w:rPr>
      </w:pPr>
    </w:p>
    <w:p w:rsidR="002B352F" w:rsidRDefault="007953B1" w:rsidP="003F7D74">
      <w:pPr>
        <w:pStyle w:val="NoSpacing"/>
        <w:jc w:val="both"/>
        <w:rPr>
          <w:rFonts w:ascii="Gautami" w:hAnsi="Gautami" w:cs="Gautami"/>
          <w:sz w:val="24"/>
          <w:szCs w:val="24"/>
          <w:lang w:val="fr-FR"/>
        </w:rPr>
      </w:pPr>
      <w:r>
        <w:rPr>
          <w:rFonts w:ascii="Gautami" w:hAnsi="Gautami" w:cs="Gautami"/>
          <w:sz w:val="24"/>
          <w:szCs w:val="24"/>
          <w:lang w:val="fr-FR"/>
        </w:rPr>
        <w:t>Les paiements ou les frais d’inscription sont payés directement à l’école française.  En contrepartie des services fournis, l’APB reçoit une contribution financière représentant 5</w:t>
      </w:r>
      <w:r w:rsidR="000B6F69">
        <w:rPr>
          <w:rFonts w:ascii="Gautami" w:hAnsi="Gautami" w:cs="Gautami"/>
          <w:sz w:val="24"/>
          <w:szCs w:val="24"/>
          <w:lang w:val="fr-FR"/>
        </w:rPr>
        <w:t>% du chiffre d’affaires réalisée</w:t>
      </w:r>
      <w:r>
        <w:rPr>
          <w:rFonts w:ascii="Gautami" w:hAnsi="Gautami" w:cs="Gautami"/>
          <w:sz w:val="24"/>
          <w:szCs w:val="24"/>
          <w:lang w:val="fr-FR"/>
        </w:rPr>
        <w:t xml:space="preserve"> en Haïti par le CFPB.   En règlement des bordereaux de l’année académique 2009/201</w:t>
      </w:r>
      <w:r w:rsidR="000B6F69">
        <w:rPr>
          <w:rFonts w:ascii="Gautami" w:hAnsi="Gautami" w:cs="Gautami"/>
          <w:sz w:val="24"/>
          <w:szCs w:val="24"/>
          <w:lang w:val="fr-FR"/>
        </w:rPr>
        <w:t>0</w:t>
      </w:r>
      <w:r>
        <w:rPr>
          <w:rFonts w:ascii="Gautami" w:hAnsi="Gautami" w:cs="Gautami"/>
          <w:sz w:val="24"/>
          <w:szCs w:val="24"/>
          <w:lang w:val="fr-FR"/>
        </w:rPr>
        <w:t xml:space="preserve"> et 2010/2011, l’APB a reçu au mois de mai 2012 par transfert sur son compte domicili</w:t>
      </w:r>
      <w:r w:rsidR="00651C93">
        <w:rPr>
          <w:rFonts w:ascii="Gautami" w:hAnsi="Gautami" w:cs="Gautami"/>
          <w:sz w:val="24"/>
          <w:szCs w:val="24"/>
          <w:lang w:val="fr-FR"/>
        </w:rPr>
        <w:t xml:space="preserve">é à la BUH un </w:t>
      </w:r>
      <w:r w:rsidR="000B6F69">
        <w:rPr>
          <w:rFonts w:ascii="Gautami" w:hAnsi="Gautami" w:cs="Gautami"/>
          <w:sz w:val="24"/>
          <w:szCs w:val="24"/>
          <w:lang w:val="fr-FR"/>
        </w:rPr>
        <w:t>montant de 27.474,12</w:t>
      </w:r>
      <w:r>
        <w:rPr>
          <w:rFonts w:ascii="Gautami" w:hAnsi="Gautami" w:cs="Gautami"/>
          <w:sz w:val="24"/>
          <w:szCs w:val="24"/>
          <w:lang w:val="fr-FR"/>
        </w:rPr>
        <w:t xml:space="preserve"> dollars américains.</w:t>
      </w:r>
    </w:p>
    <w:p w:rsidR="002B352F" w:rsidRDefault="002B352F" w:rsidP="003F7D74">
      <w:pPr>
        <w:pStyle w:val="NoSpacing"/>
        <w:jc w:val="both"/>
        <w:rPr>
          <w:rFonts w:ascii="Gautami" w:hAnsi="Gautami" w:cs="Gautami"/>
          <w:sz w:val="24"/>
          <w:szCs w:val="24"/>
          <w:lang w:val="fr-FR"/>
        </w:rPr>
      </w:pPr>
    </w:p>
    <w:p w:rsidR="007E27DB" w:rsidRPr="007E27DB" w:rsidRDefault="007E27DB" w:rsidP="003F7D74">
      <w:pPr>
        <w:pStyle w:val="NoSpacing"/>
        <w:jc w:val="both"/>
        <w:rPr>
          <w:rFonts w:ascii="Times New Roman" w:eastAsia="MS Mincho" w:hAnsi="Times New Roman" w:cs="Times New Roman"/>
          <w:lang w:val="fr-FR"/>
        </w:rPr>
      </w:pPr>
      <w:r w:rsidRPr="007E27DB">
        <w:rPr>
          <w:rFonts w:ascii="Gautami" w:hAnsi="Gautami" w:cs="Gautami"/>
          <w:sz w:val="24"/>
          <w:szCs w:val="24"/>
          <w:lang w:val="fr-FR"/>
        </w:rPr>
        <w:tab/>
      </w:r>
      <w:r w:rsidRPr="007E27DB">
        <w:rPr>
          <w:rFonts w:ascii="Gautami" w:hAnsi="Gautami" w:cs="Gautami"/>
          <w:sz w:val="24"/>
          <w:szCs w:val="24"/>
          <w:lang w:val="fr-FR"/>
        </w:rPr>
        <w:tab/>
      </w:r>
      <w:r w:rsidRPr="007E27DB">
        <w:rPr>
          <w:rFonts w:ascii="Gautami" w:hAnsi="Gautami" w:cs="Gautami"/>
          <w:sz w:val="24"/>
          <w:szCs w:val="24"/>
          <w:lang w:val="fr-FR"/>
        </w:rPr>
        <w:tab/>
      </w:r>
      <w:r w:rsidRPr="007E27DB">
        <w:rPr>
          <w:rFonts w:ascii="Gautami" w:hAnsi="Gautami" w:cs="Gautami"/>
          <w:sz w:val="24"/>
          <w:szCs w:val="24"/>
          <w:lang w:val="fr-FR"/>
        </w:rPr>
        <w:tab/>
      </w:r>
    </w:p>
    <w:p w:rsidR="003F7D74" w:rsidRPr="007E27DB" w:rsidRDefault="003F7D74" w:rsidP="003F7D74">
      <w:pPr>
        <w:pStyle w:val="NoSpacing"/>
        <w:jc w:val="both"/>
        <w:rPr>
          <w:rFonts w:ascii="Sylfaen" w:eastAsia="MS Mincho" w:hAnsi="Sylfaen" w:cs="Arial"/>
          <w:lang w:val="fr-FR"/>
        </w:rPr>
      </w:pPr>
    </w:p>
    <w:sectPr w:rsidR="003F7D74" w:rsidRPr="007E27DB" w:rsidSect="00F46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utami">
    <w:panose1 w:val="02000500000000000000"/>
    <w:charset w:val="00"/>
    <w:family w:val="auto"/>
    <w:pitch w:val="variable"/>
    <w:sig w:usb0="002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4008"/>
    <w:multiLevelType w:val="hybridMultilevel"/>
    <w:tmpl w:val="8BF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E3817"/>
    <w:multiLevelType w:val="hybridMultilevel"/>
    <w:tmpl w:val="0F9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37D40"/>
    <w:multiLevelType w:val="hybridMultilevel"/>
    <w:tmpl w:val="CD607A4E"/>
    <w:lvl w:ilvl="0" w:tplc="917EF4F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C2441"/>
    <w:multiLevelType w:val="hybridMultilevel"/>
    <w:tmpl w:val="4FD4ECD2"/>
    <w:lvl w:ilvl="0" w:tplc="C36A3CC8">
      <w:start w:val="1"/>
      <w:numFmt w:val="decimal"/>
      <w:lvlText w:val="%1)"/>
      <w:lvlJc w:val="left"/>
      <w:pPr>
        <w:ind w:left="720" w:hanging="360"/>
      </w:pPr>
      <w:rPr>
        <w:rFonts w:ascii="Arial" w:eastAsiaTheme="minorHAnsi"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C1EDD"/>
    <w:multiLevelType w:val="hybridMultilevel"/>
    <w:tmpl w:val="C8C6ED70"/>
    <w:lvl w:ilvl="0" w:tplc="1956797A">
      <w:start w:val="1"/>
      <w:numFmt w:val="decimal"/>
      <w:lvlText w:val="%1."/>
      <w:lvlJc w:val="left"/>
      <w:pPr>
        <w:ind w:left="720" w:hanging="360"/>
      </w:pPr>
      <w:rPr>
        <w:rFonts w:ascii="Arial" w:eastAsiaTheme="minorHAnsi"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E65F1"/>
    <w:multiLevelType w:val="hybridMultilevel"/>
    <w:tmpl w:val="27A4028A"/>
    <w:lvl w:ilvl="0" w:tplc="5E36B1D0">
      <w:start w:val="1"/>
      <w:numFmt w:val="decimal"/>
      <w:lvlText w:val="%1)"/>
      <w:lvlJc w:val="left"/>
      <w:pPr>
        <w:ind w:left="720" w:hanging="360"/>
      </w:pPr>
      <w:rPr>
        <w:rFonts w:ascii="Arial" w:eastAsiaTheme="minorHAnsi"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B4E0E"/>
    <w:multiLevelType w:val="hybridMultilevel"/>
    <w:tmpl w:val="575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D64D7"/>
    <w:multiLevelType w:val="hybridMultilevel"/>
    <w:tmpl w:val="FB0232C0"/>
    <w:lvl w:ilvl="0" w:tplc="72C69F9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4B1"/>
    <w:rsid w:val="000531D6"/>
    <w:rsid w:val="00076468"/>
    <w:rsid w:val="00081AE6"/>
    <w:rsid w:val="000A2D8C"/>
    <w:rsid w:val="000B6F69"/>
    <w:rsid w:val="000F714D"/>
    <w:rsid w:val="001A12C9"/>
    <w:rsid w:val="001D3DB1"/>
    <w:rsid w:val="0020019B"/>
    <w:rsid w:val="00201F8E"/>
    <w:rsid w:val="0024781B"/>
    <w:rsid w:val="002A421F"/>
    <w:rsid w:val="002B352F"/>
    <w:rsid w:val="002E4D28"/>
    <w:rsid w:val="002F6DDF"/>
    <w:rsid w:val="00325725"/>
    <w:rsid w:val="00327C23"/>
    <w:rsid w:val="00335220"/>
    <w:rsid w:val="003F7D74"/>
    <w:rsid w:val="00401000"/>
    <w:rsid w:val="00442FC7"/>
    <w:rsid w:val="00451C4D"/>
    <w:rsid w:val="004A7300"/>
    <w:rsid w:val="004E392B"/>
    <w:rsid w:val="004E7C01"/>
    <w:rsid w:val="00545976"/>
    <w:rsid w:val="005714EC"/>
    <w:rsid w:val="005C01BB"/>
    <w:rsid w:val="005D2FB1"/>
    <w:rsid w:val="005F0330"/>
    <w:rsid w:val="006133C0"/>
    <w:rsid w:val="006275E3"/>
    <w:rsid w:val="00651C93"/>
    <w:rsid w:val="006B4B52"/>
    <w:rsid w:val="006E004F"/>
    <w:rsid w:val="0072078E"/>
    <w:rsid w:val="00741E66"/>
    <w:rsid w:val="007425EF"/>
    <w:rsid w:val="007662A9"/>
    <w:rsid w:val="007702E3"/>
    <w:rsid w:val="007953B1"/>
    <w:rsid w:val="007A0D77"/>
    <w:rsid w:val="007D7BE5"/>
    <w:rsid w:val="007E27DB"/>
    <w:rsid w:val="00825187"/>
    <w:rsid w:val="008C1385"/>
    <w:rsid w:val="008C469B"/>
    <w:rsid w:val="009B0089"/>
    <w:rsid w:val="009C1331"/>
    <w:rsid w:val="009F1B68"/>
    <w:rsid w:val="00A055C7"/>
    <w:rsid w:val="00A1798A"/>
    <w:rsid w:val="00A54C0C"/>
    <w:rsid w:val="00A67D05"/>
    <w:rsid w:val="00AA7C91"/>
    <w:rsid w:val="00AC03BA"/>
    <w:rsid w:val="00AC5C0A"/>
    <w:rsid w:val="00AF64B1"/>
    <w:rsid w:val="00B533B1"/>
    <w:rsid w:val="00B5605D"/>
    <w:rsid w:val="00B83D1C"/>
    <w:rsid w:val="00BF1CBA"/>
    <w:rsid w:val="00C00DB2"/>
    <w:rsid w:val="00C01244"/>
    <w:rsid w:val="00C358E8"/>
    <w:rsid w:val="00C53823"/>
    <w:rsid w:val="00C97AEA"/>
    <w:rsid w:val="00CB2C9F"/>
    <w:rsid w:val="00CD5335"/>
    <w:rsid w:val="00D546BB"/>
    <w:rsid w:val="00DC1C59"/>
    <w:rsid w:val="00DF1B11"/>
    <w:rsid w:val="00DF6716"/>
    <w:rsid w:val="00E00347"/>
    <w:rsid w:val="00E02DA9"/>
    <w:rsid w:val="00E03BC6"/>
    <w:rsid w:val="00E6565E"/>
    <w:rsid w:val="00E74E3E"/>
    <w:rsid w:val="00EC246C"/>
    <w:rsid w:val="00EF4D0B"/>
    <w:rsid w:val="00EF6C37"/>
    <w:rsid w:val="00F12722"/>
    <w:rsid w:val="00F4685E"/>
    <w:rsid w:val="00F71C9A"/>
    <w:rsid w:val="00FA0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4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dc:creator>
  <cp:keywords/>
  <dc:description/>
  <cp:lastModifiedBy>APB</cp:lastModifiedBy>
  <cp:revision>3</cp:revision>
  <cp:lastPrinted>2012-09-25T17:05:00Z</cp:lastPrinted>
  <dcterms:created xsi:type="dcterms:W3CDTF">2012-09-25T17:12:00Z</dcterms:created>
  <dcterms:modified xsi:type="dcterms:W3CDTF">2012-09-27T14:48:00Z</dcterms:modified>
</cp:coreProperties>
</file>